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25E4A" w14:textId="02C6F937" w:rsidR="00B96A39" w:rsidRPr="00B96A39" w:rsidRDefault="00B96A39" w:rsidP="00B96A39">
      <w:pPr>
        <w:spacing w:after="300" w:line="240" w:lineRule="auto"/>
        <w:contextualSpacing/>
        <w:jc w:val="center"/>
        <w:rPr>
          <w:rFonts w:ascii="Arial" w:eastAsia="MS Gothic" w:hAnsi="Arial" w:cs="Arial"/>
          <w:b/>
          <w:bCs/>
          <w:color w:val="000000"/>
          <w:spacing w:val="5"/>
          <w:kern w:val="28"/>
          <w:sz w:val="20"/>
          <w:szCs w:val="20"/>
          <w14:ligatures w14:val="none"/>
        </w:rPr>
      </w:pPr>
      <w:r w:rsidRPr="00B96A39">
        <w:rPr>
          <w:rFonts w:ascii="Arial" w:eastAsia="MS Gothic" w:hAnsi="Arial" w:cs="Arial"/>
          <w:b/>
          <w:bCs/>
          <w:color w:val="000000"/>
          <w:spacing w:val="5"/>
          <w:kern w:val="28"/>
          <w:sz w:val="20"/>
          <w:szCs w:val="20"/>
          <w14:ligatures w14:val="none"/>
        </w:rPr>
        <w:t xml:space="preserve">A LA AGENCIA TRIBUTARIA </w:t>
      </w:r>
      <w:r>
        <w:rPr>
          <w:rFonts w:ascii="Arial" w:eastAsia="MS Gothic" w:hAnsi="Arial" w:cs="Arial"/>
          <w:b/>
          <w:bCs/>
          <w:color w:val="000000"/>
          <w:spacing w:val="5"/>
          <w:kern w:val="28"/>
          <w:sz w:val="20"/>
          <w:szCs w:val="20"/>
          <w14:ligatures w14:val="none"/>
        </w:rPr>
        <w:t xml:space="preserve">DE </w:t>
      </w:r>
      <w:r w:rsidRPr="00B96A39">
        <w:rPr>
          <w:rFonts w:ascii="Arial" w:eastAsia="MS Gothic" w:hAnsi="Arial" w:cs="Arial"/>
          <w:b/>
          <w:bCs/>
          <w:color w:val="000000"/>
          <w:spacing w:val="5"/>
          <w:kern w:val="28"/>
          <w:sz w:val="20"/>
          <w:szCs w:val="20"/>
          <w14:ligatures w14:val="none"/>
        </w:rPr>
        <w:t>MADRID</w:t>
      </w:r>
    </w:p>
    <w:p w14:paraId="220E9E78" w14:textId="0C6EBF02" w:rsidR="00B96A39" w:rsidRDefault="00B96A39" w:rsidP="00B96A39">
      <w:pPr>
        <w:spacing w:after="300" w:line="240" w:lineRule="auto"/>
        <w:contextualSpacing/>
        <w:jc w:val="center"/>
        <w:rPr>
          <w:rFonts w:ascii="Arial" w:eastAsia="MS Gothic" w:hAnsi="Arial" w:cs="Arial"/>
          <w:color w:val="000000"/>
          <w:spacing w:val="5"/>
          <w:kern w:val="28"/>
          <w:sz w:val="20"/>
          <w:szCs w:val="20"/>
          <w14:ligatures w14:val="none"/>
        </w:rPr>
      </w:pPr>
    </w:p>
    <w:p w14:paraId="3A072A91" w14:textId="7E230F4B" w:rsidR="007B3481" w:rsidRPr="00693AB2" w:rsidRDefault="007B3481" w:rsidP="007B3481">
      <w:pPr>
        <w:spacing w:after="300" w:line="240" w:lineRule="auto"/>
        <w:contextualSpacing/>
        <w:jc w:val="center"/>
        <w:rPr>
          <w:rFonts w:ascii="Arial" w:eastAsia="MS Gothic" w:hAnsi="Arial" w:cs="Arial"/>
          <w:color w:val="000000"/>
          <w:spacing w:val="5"/>
          <w:kern w:val="28"/>
          <w:sz w:val="20"/>
          <w:szCs w:val="20"/>
          <w14:ligatures w14:val="none"/>
        </w:rPr>
      </w:pPr>
      <w:r w:rsidRPr="00693AB2">
        <w:rPr>
          <w:rFonts w:ascii="Arial" w:eastAsia="MS Gothic" w:hAnsi="Arial" w:cs="Arial"/>
          <w:color w:val="000000"/>
          <w:spacing w:val="5"/>
          <w:kern w:val="28"/>
          <w:sz w:val="20"/>
          <w:szCs w:val="20"/>
          <w14:ligatures w14:val="none"/>
        </w:rPr>
        <w:t>RECLAMACIÓN ECONÓMICO-ADMINISTRATIVA CONTRA EL</w:t>
      </w:r>
    </w:p>
    <w:p w14:paraId="3FF8BFA9" w14:textId="77777777" w:rsidR="007B3481" w:rsidRPr="00693AB2" w:rsidRDefault="007B3481" w:rsidP="007B3481">
      <w:pPr>
        <w:spacing w:after="300" w:line="240" w:lineRule="auto"/>
        <w:contextualSpacing/>
        <w:jc w:val="center"/>
        <w:rPr>
          <w:rFonts w:ascii="Arial" w:eastAsia="MS Gothic" w:hAnsi="Arial" w:cs="Arial"/>
          <w:color w:val="000000"/>
          <w:spacing w:val="5"/>
          <w:kern w:val="28"/>
          <w:sz w:val="20"/>
          <w:szCs w:val="20"/>
          <w14:ligatures w14:val="none"/>
        </w:rPr>
      </w:pPr>
      <w:r w:rsidRPr="00693AB2">
        <w:rPr>
          <w:rFonts w:ascii="Arial" w:eastAsia="MS Gothic" w:hAnsi="Arial" w:cs="Arial"/>
          <w:color w:val="000000"/>
          <w:spacing w:val="5"/>
          <w:kern w:val="28"/>
          <w:sz w:val="20"/>
          <w:szCs w:val="20"/>
          <w14:ligatures w14:val="none"/>
        </w:rPr>
        <w:t>RECIBO DE LA TASA DE RESIDUOS DE MADRID DE 2026</w:t>
      </w:r>
    </w:p>
    <w:p w14:paraId="44DD9F12" w14:textId="77777777" w:rsidR="007B3481" w:rsidRPr="00693AB2" w:rsidRDefault="007B3481" w:rsidP="007B3481">
      <w:pPr>
        <w:spacing w:after="140"/>
        <w:jc w:val="center"/>
        <w:rPr>
          <w:rFonts w:ascii="Arial" w:eastAsia="MS Mincho" w:hAnsi="Arial" w:cs="Arial"/>
          <w:b/>
          <w:bCs/>
          <w:kern w:val="0"/>
          <w:sz w:val="20"/>
          <w:szCs w:val="20"/>
          <w14:ligatures w14:val="none"/>
        </w:rPr>
      </w:pPr>
      <w:r w:rsidRPr="00693AB2">
        <w:rPr>
          <w:rFonts w:ascii="Arial" w:eastAsia="MS Mincho" w:hAnsi="Arial" w:cs="Arial"/>
          <w:b/>
          <w:bCs/>
          <w:kern w:val="0"/>
          <w:sz w:val="20"/>
          <w:szCs w:val="20"/>
          <w14:ligatures w14:val="none"/>
        </w:rPr>
        <w:t>AL TRIBUNAL ECONÓMICO ADMINISTRATIVO MUNICIPAL DE MADRID</w:t>
      </w:r>
      <w:r w:rsidRPr="00693AB2">
        <w:rPr>
          <w:rFonts w:ascii="Arial" w:eastAsia="MS Mincho" w:hAnsi="Arial" w:cs="Arial"/>
          <w:b/>
          <w:bCs/>
          <w:kern w:val="0"/>
          <w:sz w:val="20"/>
          <w:szCs w:val="20"/>
          <w14:ligatures w14:val="none"/>
        </w:rPr>
        <w:br/>
      </w:r>
    </w:p>
    <w:p w14:paraId="623646FC" w14:textId="77777777" w:rsidR="007B3481" w:rsidRPr="00693AB2" w:rsidRDefault="007B3481" w:rsidP="007B3481">
      <w:pPr>
        <w:spacing w:after="140"/>
        <w:jc w:val="both"/>
        <w:rPr>
          <w:rFonts w:ascii="Arial" w:eastAsia="MS Mincho" w:hAnsi="Arial" w:cs="Arial"/>
          <w:kern w:val="0"/>
          <w:sz w:val="20"/>
          <w:szCs w:val="20"/>
          <w14:ligatures w14:val="none"/>
        </w:rPr>
      </w:pPr>
      <w:r w:rsidRPr="00693AB2">
        <w:rPr>
          <w:rFonts w:ascii="Arial" w:eastAsia="MS Mincho" w:hAnsi="Arial" w:cs="Arial"/>
          <w:kern w:val="0"/>
          <w:sz w:val="20"/>
          <w:szCs w:val="20"/>
          <w14:ligatures w14:val="none"/>
        </w:rPr>
        <w:t xml:space="preserve">D./D.ª </w:t>
      </w:r>
      <w:sdt>
        <w:sdtPr>
          <w:alias w:val="Nombre y apellidos"/>
          <w:tag w:val="CAMPO_01"/>
          <w:id w:val="90001"/>
          <w:text/>
          <w:placeholder>
            <w:docPart w:val="DefaultPlaceholder_22675703"/>
          </w:placeholder>
          <w:showingPlcHdr/>
        </w:sdtPr>
        <w:sdtContent>
          <w:r>
            <w:rPr>
              <w:rFonts w:ascii="Arial" w:eastAsia="MS Mincho" w:hAnsi="Arial" w:cs="Arial"/>
              <w:kern w:val="0"/>
              <w:sz w:val="20"/>
              <w:szCs w:val="20"/>
              <w14:ligatures w14:val="none"/>
              <w:color w:val="FF0000"/>
            </w:rPr>
            <w:t>Haga clic aquí</w:t>
          </w:r>
        </w:sdtContent>
      </w:sdt>
      <w:r w:rsidRPr="00693AB2">
        <w:rPr>
          <w:rFonts w:ascii="Arial" w:eastAsia="MS Mincho" w:hAnsi="Arial" w:cs="Arial"/>
          <w:kern w:val="0"/>
          <w:sz w:val="20"/>
          <w:szCs w:val="20"/>
          <w14:ligatures w14:val="none"/>
        </w:rPr>
        <w:t xml:space="preserve">, con DNI/NIE </w:t>
      </w:r>
      <w:sdt>
        <w:sdtPr>
          <w:alias w:val="DNI/NIE"/>
          <w:tag w:val="CAMPO_02"/>
          <w:id w:val="90002"/>
          <w:text/>
          <w:placeholder>
            <w:docPart w:val="DefaultPlaceholder_22675703"/>
          </w:placeholder>
          <w:showingPlcHdr/>
        </w:sdtPr>
        <w:sdtContent>
          <w:r>
            <w:rPr>
              <w:rFonts w:ascii="Arial" w:eastAsia="MS Mincho" w:hAnsi="Arial" w:cs="Arial"/>
              <w:kern w:val="0"/>
              <w:sz w:val="20"/>
              <w:szCs w:val="20"/>
              <w14:ligatures w14:val="none"/>
              <w:color w:val="FF0000"/>
            </w:rPr>
            <w:t>Haga clic aquí</w:t>
          </w:r>
        </w:sdtContent>
      </w:sdt>
      <w:r w:rsidRPr="00693AB2">
        <w:rPr>
          <w:rFonts w:ascii="Arial" w:eastAsia="MS Mincho" w:hAnsi="Arial" w:cs="Arial"/>
          <w:kern w:val="0"/>
          <w:sz w:val="20"/>
          <w:szCs w:val="20"/>
          <w14:ligatures w14:val="none"/>
        </w:rPr>
        <w:t xml:space="preserve">, domicilio a efectos de notificaciones en </w:t>
      </w:r>
      <w:sdt>
        <w:sdtPr>
          <w:alias w:val="Domicilio de notificaciones"/>
          <w:tag w:val="CAMPO_03"/>
          <w:id w:val="90003"/>
          <w:text/>
          <w:placeholder>
            <w:docPart w:val="DefaultPlaceholder_22675703"/>
          </w:placeholder>
          <w:showingPlcHdr/>
        </w:sdtPr>
        <w:sdtContent>
          <w:r>
            <w:rPr>
              <w:rFonts w:ascii="Arial" w:eastAsia="MS Mincho" w:hAnsi="Arial" w:cs="Arial"/>
              <w:kern w:val="0"/>
              <w:sz w:val="20"/>
              <w:szCs w:val="20"/>
              <w14:ligatures w14:val="none"/>
              <w:color w:val="FF0000"/>
            </w:rPr>
            <w:t>Haga clic aquí</w:t>
          </w:r>
        </w:sdtContent>
      </w:sdt>
      <w:r w:rsidRPr="00693AB2">
        <w:rPr>
          <w:rFonts w:ascii="Arial" w:eastAsia="MS Mincho" w:hAnsi="Arial" w:cs="Arial"/>
          <w:kern w:val="0"/>
          <w:sz w:val="20"/>
          <w:szCs w:val="20"/>
          <w14:ligatures w14:val="none"/>
        </w:rPr>
        <w:t xml:space="preserve">, en calidad de obligado tributario por el inmueble situado en </w:t>
      </w:r>
      <w:sdt>
        <w:sdtPr>
          <w:alias w:val="Dirección del inmueble"/>
          <w:tag w:val="CAMPO_04"/>
          <w:id w:val="90004"/>
          <w:text/>
          <w:placeholder>
            <w:docPart w:val="DefaultPlaceholder_22675703"/>
          </w:placeholder>
          <w:showingPlcHdr/>
        </w:sdtPr>
        <w:sdtContent>
          <w:r>
            <w:rPr>
              <w:rFonts w:ascii="Arial" w:eastAsia="MS Mincho" w:hAnsi="Arial" w:cs="Arial"/>
              <w:kern w:val="0"/>
              <w:sz w:val="20"/>
              <w:szCs w:val="20"/>
              <w14:ligatures w14:val="none"/>
              <w:color w:val="FF0000"/>
            </w:rPr>
            <w:t>Haga clic aquí</w:t>
          </w:r>
        </w:sdtContent>
      </w:sdt>
      <w:r w:rsidRPr="00693AB2">
        <w:rPr>
          <w:rFonts w:ascii="Arial" w:eastAsia="MS Mincho" w:hAnsi="Arial" w:cs="Arial"/>
          <w:kern w:val="0"/>
          <w:sz w:val="20"/>
          <w:szCs w:val="20"/>
          <w14:ligatures w14:val="none"/>
        </w:rPr>
        <w:t xml:space="preserve">, comparece y como mejor proceda en Derecho,</w:t>
      </w:r>
    </w:p>
    <w:p w14:paraId="0E80FE56" w14:textId="30CDCCCB" w:rsidR="007B3481" w:rsidRPr="00693AB2" w:rsidRDefault="007B3481" w:rsidP="007B3481">
      <w:pPr>
        <w:spacing w:after="140"/>
        <w:jc w:val="center"/>
        <w:rPr>
          <w:rFonts w:ascii="Arial" w:eastAsia="MS Mincho" w:hAnsi="Arial" w:cs="Arial"/>
          <w:kern w:val="0"/>
          <w:sz w:val="20"/>
          <w:szCs w:val="20"/>
          <w14:ligatures w14:val="none"/>
        </w:rPr>
      </w:pPr>
      <w:r w:rsidRPr="00693AB2">
        <w:rPr>
          <w:rFonts w:ascii="Arial" w:eastAsia="MS Gothic" w:hAnsi="Arial" w:cs="Arial"/>
          <w:b/>
          <w:bCs/>
          <w:color w:val="000000"/>
          <w:kern w:val="0"/>
          <w:sz w:val="20"/>
          <w:szCs w:val="20"/>
          <w14:ligatures w14:val="none"/>
        </w:rPr>
        <w:t>EXPONE</w:t>
      </w:r>
    </w:p>
    <w:p w14:paraId="05A9F4EC" w14:textId="043C28F8" w:rsidR="007B3481" w:rsidRPr="00693AB2" w:rsidRDefault="007B3481" w:rsidP="007B3481">
      <w:pPr>
        <w:spacing w:after="140"/>
        <w:jc w:val="both"/>
        <w:rPr>
          <w:rFonts w:ascii="Arial" w:eastAsia="MS Mincho" w:hAnsi="Arial" w:cs="Arial"/>
          <w:kern w:val="0"/>
          <w:sz w:val="20"/>
          <w:szCs w:val="20"/>
          <w14:ligatures w14:val="none"/>
        </w:rPr>
      </w:pPr>
      <w:r w:rsidRPr="00693AB2">
        <w:rPr>
          <w:rFonts w:ascii="Arial" w:eastAsia="MS Mincho" w:hAnsi="Arial" w:cs="Arial"/>
          <w:b/>
          <w:bCs/>
          <w:kern w:val="0"/>
          <w:sz w:val="20"/>
          <w:szCs w:val="20"/>
          <w14:ligatures w14:val="none"/>
        </w:rPr>
        <w:t>PRIMERO</w:t>
      </w:r>
      <w:r w:rsidRPr="00693AB2">
        <w:rPr>
          <w:rFonts w:ascii="Arial" w:eastAsia="MS Mincho" w:hAnsi="Arial" w:cs="Arial"/>
          <w:kern w:val="0"/>
          <w:sz w:val="20"/>
          <w:szCs w:val="20"/>
          <w14:ligatures w14:val="none"/>
        </w:rPr>
        <w:t>. - Que con fecha</w:t>
      </w:r>
      <w:r w:rsidR="00D8353A" w:rsidRPr="00693AB2">
        <w:rPr>
          <w:rFonts w:ascii="Arial" w:eastAsia="MS Mincho" w:hAnsi="Arial" w:cs="Arial"/>
          <w:kern w:val="0"/>
          <w:sz w:val="20"/>
          <w:szCs w:val="20"/>
          <w14:ligatures w14:val="none"/>
        </w:rPr>
        <w:t xml:space="preserve"> </w:t>
      </w:r>
      <w:sdt>
        <w:sdtPr>
          <w:alias w:val="Fecha de notificación"/>
          <w:tag w:val="CAMPO_05"/>
          <w:id w:val="90005"/>
          <w:text/>
          <w:placeholder>
            <w:docPart w:val="DefaultPlaceholder_22675703"/>
          </w:placeholder>
          <w:showingPlcHdr/>
        </w:sdtPr>
        <w:sdtContent>
          <w:r>
            <w:rPr>
              <w:rFonts w:ascii="Arial" w:eastAsia="MS Mincho" w:hAnsi="Arial" w:cs="Arial"/>
              <w:kern w:val="0"/>
              <w:sz w:val="20"/>
              <w:szCs w:val="20"/>
              <w14:ligatures w14:val="none"/>
              <w:color w:val="FF0000"/>
            </w:rPr>
            <w:t>Haga clic aquí</w:t>
          </w:r>
        </w:sdtContent>
      </w:sdt>
      <w:r w:rsidRPr="00693AB2">
        <w:rPr>
          <w:rFonts w:ascii="Arial" w:eastAsia="MS Mincho" w:hAnsi="Arial" w:cs="Arial"/>
          <w:kern w:val="0"/>
          <w:sz w:val="20"/>
          <w:szCs w:val="20"/>
          <w14:ligatures w14:val="none"/>
        </w:rPr>
        <w:t xml:space="preserve">, </w:t>
      </w:r>
      <w:r w:rsidR="00D8353A" w:rsidRPr="00693AB2">
        <w:rPr>
          <w:rFonts w:ascii="Arial" w:eastAsia="MS Mincho" w:hAnsi="Arial" w:cs="Arial"/>
          <w:kern w:val="0"/>
          <w:sz w:val="20"/>
          <w:szCs w:val="20"/>
          <w14:ligatures w14:val="none"/>
        </w:rPr>
        <w:t>m</w:t>
      </w:r>
      <w:r w:rsidRPr="00693AB2">
        <w:rPr>
          <w:rFonts w:ascii="Arial" w:eastAsia="MS Mincho" w:hAnsi="Arial" w:cs="Arial"/>
          <w:kern w:val="0"/>
          <w:sz w:val="20"/>
          <w:szCs w:val="20"/>
          <w14:ligatures w14:val="none"/>
        </w:rPr>
        <w:t xml:space="preserve">e ha sido notificada la liquidación de la Tasa por Prestación del Servicio de Gestión de Residuos Urbanos, con número de referencia </w:t>
      </w:r>
      <w:sdt>
        <w:sdtPr>
          <w:alias w:val="Número de referencia"/>
          <w:tag w:val="CAMPO_06"/>
          <w:id w:val="90006"/>
          <w:text/>
          <w:placeholder>
            <w:docPart w:val="DefaultPlaceholder_22675703"/>
          </w:placeholder>
          <w:showingPlcHdr/>
        </w:sdtPr>
        <w:sdtContent>
          <w:r>
            <w:rPr>
              <w:rFonts w:ascii="Arial" w:eastAsia="MS Mincho" w:hAnsi="Arial" w:cs="Arial"/>
              <w:kern w:val="0"/>
              <w:sz w:val="20"/>
              <w:szCs w:val="20"/>
              <w14:ligatures w14:val="none"/>
              <w:color w:val="FF0000"/>
            </w:rPr>
            <w:t>Haga clic aquí</w:t>
          </w:r>
        </w:sdtContent>
      </w:sdt>
      <w:r w:rsidRPr="00693AB2">
        <w:rPr>
          <w:rFonts w:ascii="Arial" w:eastAsia="MS Mincho" w:hAnsi="Arial" w:cs="Arial"/>
          <w:kern w:val="0"/>
          <w:sz w:val="20"/>
          <w:szCs w:val="20"/>
          <w14:ligatures w14:val="none"/>
        </w:rPr>
        <w:t xml:space="preserve"> correspondiente al ejercicio 2026, emitida por el Ayuntamiento de Madrid, por un importe de </w:t>
      </w:r>
      <w:sdt>
        <w:sdtPr>
          <w:alias w:val="Importe liquidación"/>
          <w:tag w:val="CAMPO_07"/>
          <w:id w:val="90007"/>
          <w:text/>
          <w:placeholder>
            <w:docPart w:val="DefaultPlaceholder_22675703"/>
          </w:placeholder>
          <w:showingPlcHdr/>
        </w:sdtPr>
        <w:sdtContent>
          <w:r>
            <w:rPr>
              <w:rFonts w:ascii="Arial" w:eastAsia="MS Mincho" w:hAnsi="Arial" w:cs="Arial"/>
              <w:kern w:val="0"/>
              <w:sz w:val="20"/>
              <w:szCs w:val="20"/>
              <w14:ligatures w14:val="none"/>
              <w:color w:val="FF0000"/>
            </w:rPr>
            <w:t>Haga clic aquí</w:t>
          </w:r>
        </w:sdtContent>
      </w:sdt>
      <w:r w:rsidRPr="00693AB2">
        <w:rPr>
          <w:rFonts w:ascii="Arial" w:eastAsia="MS Mincho" w:hAnsi="Arial" w:cs="Arial"/>
          <w:kern w:val="0"/>
          <w:sz w:val="20"/>
          <w:szCs w:val="20"/>
          <w14:ligatures w14:val="none"/>
        </w:rPr>
        <w:t xml:space="preserve"> euros, aplicable a inmuebles de uso residencial.</w:t>
      </w:r>
    </w:p>
    <w:p w14:paraId="6425C6BE" w14:textId="575E3405" w:rsidR="007B3481" w:rsidRPr="00693AB2" w:rsidRDefault="007B3481" w:rsidP="007B3481">
      <w:pPr>
        <w:spacing w:after="140"/>
        <w:jc w:val="both"/>
        <w:rPr>
          <w:rFonts w:ascii="Arial" w:eastAsia="MS Mincho" w:hAnsi="Arial" w:cs="Arial"/>
          <w:kern w:val="0"/>
          <w:sz w:val="20"/>
          <w:szCs w:val="20"/>
          <w14:ligatures w14:val="none"/>
        </w:rPr>
      </w:pPr>
      <w:r w:rsidRPr="00693AB2">
        <w:rPr>
          <w:rFonts w:ascii="Arial" w:eastAsia="MS Mincho" w:hAnsi="Arial" w:cs="Arial"/>
          <w:b/>
          <w:bCs/>
          <w:kern w:val="0"/>
          <w:sz w:val="20"/>
          <w:szCs w:val="20"/>
          <w14:ligatures w14:val="none"/>
        </w:rPr>
        <w:t>SEGUNDO</w:t>
      </w:r>
      <w:r w:rsidRPr="00693AB2">
        <w:rPr>
          <w:rFonts w:ascii="Arial" w:eastAsia="MS Mincho" w:hAnsi="Arial" w:cs="Arial"/>
          <w:kern w:val="0"/>
          <w:sz w:val="20"/>
          <w:szCs w:val="20"/>
          <w14:ligatures w14:val="none"/>
        </w:rPr>
        <w:t xml:space="preserve">. - Que no estando conforme con dicha liquidación, interpone mediante el presente escrito </w:t>
      </w:r>
      <w:r w:rsidRPr="00693AB2">
        <w:rPr>
          <w:rFonts w:ascii="Arial" w:eastAsia="MS Mincho" w:hAnsi="Arial" w:cs="Arial"/>
          <w:b/>
          <w:bCs/>
          <w:kern w:val="0"/>
          <w:sz w:val="20"/>
          <w:szCs w:val="20"/>
          <w14:ligatures w14:val="none"/>
        </w:rPr>
        <w:t>RECLAMACIÓN ECONÓMICO-ADMINISTRATIVA</w:t>
      </w:r>
      <w:r w:rsidRPr="00693AB2">
        <w:rPr>
          <w:rFonts w:ascii="Arial" w:eastAsia="MS Mincho" w:hAnsi="Arial" w:cs="Arial"/>
          <w:kern w:val="0"/>
          <w:sz w:val="20"/>
          <w:szCs w:val="20"/>
          <w14:ligatures w14:val="none"/>
        </w:rPr>
        <w:t xml:space="preserve"> contra el recibo del padrón de la Tasa por Prestación del Servicio de Gestión de Residuos de Competencia Municipal del ejercicio 2026, número fijo/identificador </w:t>
      </w:r>
      <w:sdt>
        <w:sdtPr>
          <w:alias w:val="Número fijo/identificador"/>
          <w:tag w:val="CAMPO_08"/>
          <w:id w:val="90008"/>
          <w:text/>
          <w:placeholder>
            <w:docPart w:val="DefaultPlaceholder_22675703"/>
          </w:placeholder>
          <w:showingPlcHdr/>
        </w:sdtPr>
        <w:sdtContent>
          <w:r>
            <w:rPr>
              <w:rFonts w:ascii="Arial" w:eastAsia="MS Mincho" w:hAnsi="Arial" w:cs="Arial"/>
              <w:kern w:val="0"/>
              <w:sz w:val="20"/>
              <w:szCs w:val="20"/>
              <w14:ligatures w14:val="none"/>
              <w:color w:val="FF0000"/>
            </w:rPr>
            <w:t>Haga clic aquí</w:t>
          </w:r>
        </w:sdtContent>
      </w:sdt>
      <w:r w:rsidRPr="00693AB2">
        <w:rPr>
          <w:rFonts w:ascii="Arial" w:eastAsia="MS Mincho" w:hAnsi="Arial" w:cs="Arial"/>
          <w:kern w:val="0"/>
          <w:sz w:val="20"/>
          <w:szCs w:val="20"/>
          <w14:ligatures w14:val="none"/>
        </w:rPr>
        <w:t xml:space="preserve">, referencia catastral </w:t>
      </w:r>
      <w:sdt>
        <w:sdtPr>
          <w:alias w:val="Referencia catastral"/>
          <w:tag w:val="CAMPO_09"/>
          <w:id w:val="90009"/>
          <w:text/>
          <w:placeholder>
            <w:docPart w:val="DefaultPlaceholder_22675703"/>
          </w:placeholder>
          <w:showingPlcHdr/>
        </w:sdtPr>
        <w:sdtContent>
          <w:r>
            <w:rPr>
              <w:rFonts w:ascii="Arial" w:eastAsia="MS Mincho" w:hAnsi="Arial" w:cs="Arial"/>
              <w:kern w:val="0"/>
              <w:sz w:val="20"/>
              <w:szCs w:val="20"/>
              <w14:ligatures w14:val="none"/>
              <w:color w:val="FF0000"/>
            </w:rPr>
            <w:t>Haga clic aquí</w:t>
          </w:r>
        </w:sdtContent>
      </w:sdt>
      <w:r w:rsidRPr="00693AB2">
        <w:rPr>
          <w:rFonts w:ascii="Arial" w:eastAsia="MS Mincho" w:hAnsi="Arial" w:cs="Arial"/>
          <w:kern w:val="0"/>
          <w:sz w:val="20"/>
          <w:szCs w:val="20"/>
          <w14:ligatures w14:val="none"/>
        </w:rPr>
        <w:t xml:space="preserve">, por importe de </w:t>
      </w:r>
      <w:sdt>
        <w:sdtPr>
          <w:alias w:val="Importe reclamado"/>
          <w:tag w:val="CAMPO_10"/>
          <w:id w:val="90010"/>
          <w:text/>
          <w:placeholder>
            <w:docPart w:val="DefaultPlaceholder_22675703"/>
          </w:placeholder>
          <w:showingPlcHdr/>
        </w:sdtPr>
        <w:sdtContent>
          <w:r>
            <w:rPr>
              <w:rFonts w:ascii="Arial" w:eastAsia="MS Mincho" w:hAnsi="Arial" w:cs="Arial"/>
              <w:kern w:val="0"/>
              <w:sz w:val="20"/>
              <w:szCs w:val="20"/>
              <w14:ligatures w14:val="none"/>
              <w:color w:val="FF0000"/>
            </w:rPr>
            <w:t>Haga clic aquí</w:t>
          </w:r>
        </w:sdtContent>
      </w:sdt>
      <w:r w:rsidRPr="00693AB2">
        <w:rPr>
          <w:rFonts w:ascii="Arial" w:eastAsia="MS Mincho" w:hAnsi="Arial" w:cs="Arial"/>
          <w:kern w:val="0"/>
          <w:sz w:val="20"/>
          <w:szCs w:val="20"/>
          <w14:ligatures w14:val="none"/>
        </w:rPr>
        <w:t xml:space="preserve"> euros de conformidad con lo dispuesto en el artículo 37 del Reglamento Orgánico del Tribunal Económico-Administrativo Municipal del Ayuntamiento de Madrid, de fecha 20/12/2007, y declara no haber interpuesto recurso potestativo de reposición contra la liquidación ahora impugnada.</w:t>
      </w:r>
    </w:p>
    <w:p w14:paraId="18464C08" w14:textId="77777777" w:rsidR="007B3481" w:rsidRPr="00693AB2" w:rsidRDefault="007B3481" w:rsidP="007B3481">
      <w:pPr>
        <w:spacing w:after="140"/>
        <w:jc w:val="both"/>
        <w:rPr>
          <w:rFonts w:ascii="Arial" w:eastAsia="MS Mincho" w:hAnsi="Arial" w:cs="Arial"/>
          <w:kern w:val="0"/>
          <w:sz w:val="20"/>
          <w:szCs w:val="20"/>
          <w14:ligatures w14:val="none"/>
        </w:rPr>
      </w:pPr>
      <w:r w:rsidRPr="00693AB2">
        <w:rPr>
          <w:rFonts w:ascii="Arial" w:eastAsia="MS Mincho" w:hAnsi="Arial" w:cs="Arial"/>
          <w:kern w:val="0"/>
          <w:sz w:val="20"/>
          <w:szCs w:val="20"/>
          <w14:ligatures w14:val="none"/>
        </w:rPr>
        <w:t>La cuantía de la reclamación coincide con ese importe. Acompaño copia del recibo y formulo en este escrito las alegaciones en que se funda la pretensión de anulación.</w:t>
      </w:r>
    </w:p>
    <w:p w14:paraId="5BDF7CB0" w14:textId="36C85473" w:rsidR="007B3481" w:rsidRPr="00693AB2" w:rsidRDefault="007B3481" w:rsidP="007B3481">
      <w:pPr>
        <w:spacing w:after="140"/>
        <w:jc w:val="both"/>
        <w:rPr>
          <w:rFonts w:ascii="Arial" w:eastAsia="MS Mincho" w:hAnsi="Arial" w:cs="Arial"/>
          <w:kern w:val="0"/>
          <w:sz w:val="20"/>
          <w:szCs w:val="20"/>
          <w14:ligatures w14:val="none"/>
        </w:rPr>
      </w:pPr>
      <w:r w:rsidRPr="00693AB2">
        <w:rPr>
          <w:rFonts w:ascii="Arial" w:eastAsia="MS Mincho" w:hAnsi="Arial" w:cs="Arial"/>
          <w:b/>
          <w:bCs/>
          <w:kern w:val="0"/>
          <w:sz w:val="20"/>
          <w:szCs w:val="20"/>
          <w14:ligatures w14:val="none"/>
        </w:rPr>
        <w:t>TERCERO</w:t>
      </w:r>
      <w:r w:rsidRPr="00693AB2">
        <w:rPr>
          <w:rFonts w:ascii="Arial" w:eastAsia="MS Mincho" w:hAnsi="Arial" w:cs="Arial"/>
          <w:kern w:val="0"/>
          <w:sz w:val="20"/>
          <w:szCs w:val="20"/>
          <w14:ligatures w14:val="none"/>
        </w:rPr>
        <w:t>. - La reclamación se presenta dentro del plazo de un mes computado desde el día siguiente a la finalización del período voluntario de pago del recibo periódico, que concluye el 30 de diciembre de 2026.</w:t>
      </w:r>
      <w:r w:rsidR="00B96A39">
        <w:rPr>
          <w:rFonts w:ascii="Arial" w:eastAsia="MS Mincho" w:hAnsi="Arial" w:cs="Arial"/>
          <w:kern w:val="0"/>
          <w:sz w:val="20"/>
          <w:szCs w:val="20"/>
          <w14:ligatures w14:val="none"/>
        </w:rPr>
        <w:t xml:space="preserve"> No se ha interpuesto recurso potestativo de reposición contra este acto.</w:t>
      </w:r>
    </w:p>
    <w:p w14:paraId="27BF451B" w14:textId="77777777" w:rsidR="007B3481" w:rsidRPr="00693AB2" w:rsidRDefault="007B3481" w:rsidP="007B3481">
      <w:pPr>
        <w:spacing w:after="140"/>
        <w:jc w:val="both"/>
        <w:rPr>
          <w:rFonts w:ascii="Arial" w:eastAsia="MS Mincho" w:hAnsi="Arial" w:cs="Arial"/>
          <w:kern w:val="0"/>
          <w:sz w:val="20"/>
          <w:szCs w:val="20"/>
          <w14:ligatures w14:val="none"/>
        </w:rPr>
      </w:pPr>
      <w:r w:rsidRPr="00693AB2">
        <w:rPr>
          <w:rFonts w:ascii="Arial" w:eastAsia="MS Mincho" w:hAnsi="Arial" w:cs="Arial"/>
          <w:kern w:val="0"/>
          <w:sz w:val="20"/>
          <w:szCs w:val="20"/>
          <w14:ligatures w14:val="none"/>
        </w:rPr>
        <w:t xml:space="preserve">El importe reclamado fue abonado el </w:t>
      </w:r>
      <w:sdt>
        <w:sdtPr>
          <w:alias w:val="Fecha de pago"/>
          <w:tag w:val="CAMPO_11"/>
          <w:id w:val="90011"/>
          <w:text/>
          <w:placeholder>
            <w:docPart w:val="DefaultPlaceholder_22675703"/>
          </w:placeholder>
          <w:showingPlcHdr/>
        </w:sdtPr>
        <w:sdtContent>
          <w:r>
            <w:rPr>
              <w:rFonts w:ascii="Arial" w:eastAsia="MS Mincho" w:hAnsi="Arial" w:cs="Arial"/>
              <w:kern w:val="0"/>
              <w:sz w:val="20"/>
              <w:szCs w:val="20"/>
              <w14:ligatures w14:val="none"/>
              <w:color w:val="FF0000"/>
            </w:rPr>
            <w:t>Haga clic aquí</w:t>
          </w:r>
        </w:sdtContent>
      </w:sdt>
      <w:r w:rsidRPr="00693AB2">
        <w:rPr>
          <w:rFonts w:ascii="Arial" w:eastAsia="MS Mincho" w:hAnsi="Arial" w:cs="Arial"/>
          <w:kern w:val="0"/>
          <w:sz w:val="20"/>
          <w:szCs w:val="20"/>
          <w14:ligatures w14:val="none"/>
        </w:rPr>
        <w:t xml:space="preserve">. El pago no supone conformidad con la procedencia ni con la cuantificación de la tasa, y mantengo la pretensión de anulación y devolución del ingreso indebido.</w:t>
      </w:r>
    </w:p>
    <w:p w14:paraId="25FAD635" w14:textId="5C2410BC" w:rsidR="007B3481" w:rsidRPr="00693AB2" w:rsidRDefault="007B3481" w:rsidP="008B6836">
      <w:pPr>
        <w:spacing w:after="140"/>
        <w:jc w:val="both"/>
        <w:rPr>
          <w:rFonts w:ascii="Arial" w:eastAsia="MS Mincho" w:hAnsi="Arial" w:cs="Arial"/>
          <w:kern w:val="0"/>
          <w:sz w:val="20"/>
          <w:szCs w:val="20"/>
          <w14:ligatures w14:val="none"/>
        </w:rPr>
      </w:pPr>
      <w:r w:rsidRPr="00693AB2">
        <w:rPr>
          <w:rFonts w:ascii="Arial" w:eastAsia="MS Mincho" w:hAnsi="Arial" w:cs="Arial"/>
          <w:b/>
          <w:bCs/>
          <w:kern w:val="0"/>
          <w:sz w:val="20"/>
          <w:szCs w:val="20"/>
          <w14:ligatures w14:val="none"/>
        </w:rPr>
        <w:t>CUARTO</w:t>
      </w:r>
      <w:r w:rsidRPr="00693AB2">
        <w:rPr>
          <w:rFonts w:ascii="Arial" w:eastAsia="MS Mincho" w:hAnsi="Arial" w:cs="Arial"/>
          <w:kern w:val="0"/>
          <w:sz w:val="20"/>
          <w:szCs w:val="20"/>
          <w14:ligatures w14:val="none"/>
        </w:rPr>
        <w:t>. - El recibo aplica la Ordenanza Fiscal 14/2025, de 22 de diciembre, aprobada para entrar en vigor el 1 de enero de 2026. Impugno la exigencia de esta cuota por los siguientes motivos relativos a su sustento económico y a la determinación de su tarifa. La obligación legal de establecer una tasa de residuos no dispensa al Ayuntamiento de configurar y cuantificar la concreta exacción conforme a la Ley 7/2022</w:t>
      </w:r>
      <w:r w:rsidR="00D8353A" w:rsidRPr="00693AB2">
        <w:rPr>
          <w:rFonts w:ascii="Arial" w:eastAsia="MS Mincho" w:hAnsi="Arial" w:cs="Arial"/>
          <w:kern w:val="0"/>
          <w:sz w:val="20"/>
          <w:szCs w:val="20"/>
          <w14:ligatures w14:val="none"/>
        </w:rPr>
        <w:t xml:space="preserve">, de 8 de abril, de residuos y suelos contaminados para una economía circular (en adelante Ley de residuos) </w:t>
      </w:r>
      <w:r w:rsidRPr="00693AB2">
        <w:rPr>
          <w:rFonts w:ascii="Arial" w:eastAsia="MS Mincho" w:hAnsi="Arial" w:cs="Arial"/>
          <w:kern w:val="0"/>
          <w:sz w:val="20"/>
          <w:szCs w:val="20"/>
          <w14:ligatures w14:val="none"/>
        </w:rPr>
        <w:t xml:space="preserve">y a los artículos 24 y 25 del </w:t>
      </w:r>
      <w:r w:rsidR="00D8353A" w:rsidRPr="00693AB2">
        <w:rPr>
          <w:rFonts w:ascii="Arial" w:eastAsia="MS Mincho" w:hAnsi="Arial" w:cs="Arial"/>
          <w:kern w:val="0"/>
          <w:sz w:val="20"/>
          <w:szCs w:val="20"/>
          <w14:ligatures w14:val="none"/>
        </w:rPr>
        <w:t>T</w:t>
      </w:r>
      <w:r w:rsidRPr="00693AB2">
        <w:rPr>
          <w:rFonts w:ascii="Arial" w:eastAsia="MS Mincho" w:hAnsi="Arial" w:cs="Arial"/>
          <w:kern w:val="0"/>
          <w:sz w:val="20"/>
          <w:szCs w:val="20"/>
          <w14:ligatures w14:val="none"/>
        </w:rPr>
        <w:t xml:space="preserve">exto </w:t>
      </w:r>
      <w:r w:rsidR="00D8353A" w:rsidRPr="00693AB2">
        <w:rPr>
          <w:rFonts w:ascii="Arial" w:eastAsia="MS Mincho" w:hAnsi="Arial" w:cs="Arial"/>
          <w:kern w:val="0"/>
          <w:sz w:val="20"/>
          <w:szCs w:val="20"/>
          <w14:ligatures w14:val="none"/>
        </w:rPr>
        <w:t>R</w:t>
      </w:r>
      <w:r w:rsidRPr="00693AB2">
        <w:rPr>
          <w:rFonts w:ascii="Arial" w:eastAsia="MS Mincho" w:hAnsi="Arial" w:cs="Arial"/>
          <w:kern w:val="0"/>
          <w:sz w:val="20"/>
          <w:szCs w:val="20"/>
          <w14:ligatures w14:val="none"/>
        </w:rPr>
        <w:t>efundido de la Ley Reguladora de las Haciendas Locales (</w:t>
      </w:r>
      <w:r w:rsidR="00D8353A" w:rsidRPr="00693AB2">
        <w:rPr>
          <w:rFonts w:ascii="Arial" w:eastAsia="MS Mincho" w:hAnsi="Arial" w:cs="Arial"/>
          <w:kern w:val="0"/>
          <w:sz w:val="20"/>
          <w:szCs w:val="20"/>
          <w14:ligatures w14:val="none"/>
        </w:rPr>
        <w:t xml:space="preserve">en adelante </w:t>
      </w:r>
      <w:r w:rsidRPr="00693AB2">
        <w:rPr>
          <w:rFonts w:ascii="Arial" w:eastAsia="MS Mincho" w:hAnsi="Arial" w:cs="Arial"/>
          <w:kern w:val="0"/>
          <w:sz w:val="20"/>
          <w:szCs w:val="20"/>
          <w14:ligatures w14:val="none"/>
        </w:rPr>
        <w:t>TRLRHL).</w:t>
      </w:r>
    </w:p>
    <w:p w14:paraId="31A2270F" w14:textId="77777777" w:rsidR="007B3481" w:rsidRPr="00693AB2" w:rsidRDefault="007B3481" w:rsidP="007B3481">
      <w:pPr>
        <w:spacing w:after="140"/>
        <w:jc w:val="both"/>
        <w:rPr>
          <w:rFonts w:ascii="Arial" w:eastAsia="MS Mincho" w:hAnsi="Arial" w:cs="Arial"/>
          <w:kern w:val="0"/>
          <w:sz w:val="20"/>
          <w:szCs w:val="20"/>
          <w14:ligatures w14:val="none"/>
        </w:rPr>
      </w:pPr>
    </w:p>
    <w:p w14:paraId="5385881A" w14:textId="22F87B62" w:rsidR="007B3481" w:rsidRPr="00693AB2" w:rsidRDefault="007B3481" w:rsidP="007B3481">
      <w:pPr>
        <w:spacing w:after="140"/>
        <w:jc w:val="center"/>
        <w:rPr>
          <w:rFonts w:ascii="Arial" w:eastAsia="MS Mincho" w:hAnsi="Arial" w:cs="Arial"/>
          <w:kern w:val="0"/>
          <w:sz w:val="20"/>
          <w:szCs w:val="20"/>
          <w14:ligatures w14:val="none"/>
        </w:rPr>
      </w:pPr>
      <w:r w:rsidRPr="00693AB2">
        <w:rPr>
          <w:rFonts w:ascii="Arial" w:eastAsia="MS Gothic" w:hAnsi="Arial" w:cs="Arial"/>
          <w:b/>
          <w:bCs/>
          <w:color w:val="000000"/>
          <w:kern w:val="0"/>
          <w:sz w:val="20"/>
          <w:szCs w:val="20"/>
          <w14:ligatures w14:val="none"/>
        </w:rPr>
        <w:t>ALEGACIONES Y FUNDAMENTOS DE LA RECLAMACIÓN</w:t>
      </w:r>
    </w:p>
    <w:p w14:paraId="7A96D2DC" w14:textId="6535D253" w:rsidR="00534E7C" w:rsidRPr="00534E7C" w:rsidRDefault="00B96A39" w:rsidP="00534E7C">
      <w:pPr>
        <w:spacing w:after="140"/>
        <w:jc w:val="both"/>
        <w:rPr>
          <w:rFonts w:ascii="Arial" w:eastAsia="MS Mincho" w:hAnsi="Arial" w:cs="Arial"/>
          <w:b/>
          <w:bCs/>
          <w:kern w:val="0"/>
          <w:sz w:val="20"/>
          <w:szCs w:val="20"/>
          <w14:ligatures w14:val="none"/>
        </w:rPr>
      </w:pPr>
      <w:r w:rsidRPr="00693AB2">
        <w:rPr>
          <w:rFonts w:ascii="Arial" w:eastAsia="MS Mincho" w:hAnsi="Arial" w:cs="Arial"/>
          <w:b/>
          <w:bCs/>
          <w:kern w:val="0"/>
          <w:sz w:val="20"/>
          <w:szCs w:val="20"/>
          <w14:ligatures w14:val="none"/>
        </w:rPr>
        <w:t>PRIMER</w:t>
      </w:r>
      <w:r>
        <w:rPr>
          <w:rFonts w:ascii="Arial" w:eastAsia="MS Mincho" w:hAnsi="Arial" w:cs="Arial"/>
          <w:b/>
          <w:bCs/>
          <w:kern w:val="0"/>
          <w:sz w:val="20"/>
          <w:szCs w:val="20"/>
          <w14:ligatures w14:val="none"/>
        </w:rPr>
        <w:t>A</w:t>
      </w:r>
      <w:r w:rsidR="007B3481" w:rsidRPr="00693AB2">
        <w:rPr>
          <w:rFonts w:ascii="Arial" w:eastAsia="MS Mincho" w:hAnsi="Arial" w:cs="Arial"/>
          <w:kern w:val="0"/>
          <w:sz w:val="20"/>
          <w:szCs w:val="20"/>
          <w14:ligatures w14:val="none"/>
        </w:rPr>
        <w:t>.</w:t>
      </w:r>
      <w:r w:rsidR="00534E7C" w:rsidRPr="00534E7C">
        <w:rPr>
          <w:rFonts w:ascii="Arial" w:eastAsia="MS Mincho" w:hAnsi="Arial" w:cs="Arial"/>
          <w:b/>
          <w:bCs/>
          <w:kern w:val="0"/>
          <w:sz w:val="20"/>
          <w:szCs w:val="20"/>
          <w14:ligatures w14:val="none"/>
        </w:rPr>
        <w:t xml:space="preserve"> Desajuste entre el principio de pago por generación y la distribución efectiva de la cuota. </w:t>
      </w:r>
    </w:p>
    <w:p w14:paraId="072436E4" w14:textId="06E1DF0C" w:rsidR="00534E7C" w:rsidRPr="00534E7C" w:rsidRDefault="00534E7C" w:rsidP="00534E7C">
      <w:pPr>
        <w:spacing w:after="140"/>
        <w:jc w:val="both"/>
        <w:rPr>
          <w:rFonts w:ascii="Arial" w:eastAsia="MS Mincho" w:hAnsi="Arial" w:cs="Arial"/>
          <w:kern w:val="0"/>
          <w:sz w:val="20"/>
          <w:szCs w:val="20"/>
          <w14:ligatures w14:val="none"/>
        </w:rPr>
      </w:pPr>
      <w:r w:rsidRPr="00534E7C">
        <w:rPr>
          <w:rFonts w:ascii="Arial" w:eastAsia="MS Mincho" w:hAnsi="Arial" w:cs="Arial"/>
          <w:kern w:val="0"/>
          <w:sz w:val="20"/>
          <w:szCs w:val="20"/>
          <w14:ligatures w14:val="none"/>
        </w:rPr>
        <w:t xml:space="preserve">El informe técnico económico atribuye a costes fijos 261.891.628,13 euros de un total neto de aproximadamente 324,32 millones (tabla 103), es decir, cerca del 80,75 %. La tabla 152 proyecta 261.890.239,09 euros por tarifa básica sobre una cuota íntegra agregada de 324.314.799,52 euros. Esa tarifa se asigna esencialmente </w:t>
      </w:r>
      <w:r w:rsidR="006B4A5D" w:rsidRPr="00534E7C">
        <w:rPr>
          <w:rFonts w:ascii="Arial" w:eastAsia="MS Mincho" w:hAnsi="Arial" w:cs="Arial"/>
          <w:kern w:val="0"/>
          <w:sz w:val="20"/>
          <w:szCs w:val="20"/>
          <w14:ligatures w14:val="none"/>
        </w:rPr>
        <w:t xml:space="preserve">por </w:t>
      </w:r>
      <w:r w:rsidR="006B4A5D">
        <w:rPr>
          <w:rFonts w:ascii="Arial" w:eastAsia="MS Mincho" w:hAnsi="Arial" w:cs="Arial"/>
          <w:kern w:val="0"/>
          <w:sz w:val="20"/>
          <w:szCs w:val="20"/>
          <w14:ligatures w14:val="none"/>
        </w:rPr>
        <w:t>valor</w:t>
      </w:r>
      <w:r w:rsidRPr="00534E7C">
        <w:rPr>
          <w:rFonts w:ascii="Arial" w:eastAsia="MS Mincho" w:hAnsi="Arial" w:cs="Arial"/>
          <w:kern w:val="0"/>
          <w:sz w:val="20"/>
          <w:szCs w:val="20"/>
          <w14:ligatures w14:val="none"/>
        </w:rPr>
        <w:t xml:space="preserve"> catastral; la generación y la calidad de separación se determinan mediante indicadores territoriales, con modulación por residentes.</w:t>
      </w:r>
    </w:p>
    <w:p w14:paraId="135A6AC6" w14:textId="3C818A79" w:rsidR="00534E7C" w:rsidRPr="00534E7C" w:rsidRDefault="00534E7C" w:rsidP="00534E7C">
      <w:pPr>
        <w:spacing w:after="140"/>
        <w:jc w:val="both"/>
        <w:rPr>
          <w:rFonts w:ascii="Arial" w:eastAsia="MS Mincho" w:hAnsi="Arial" w:cs="Arial"/>
          <w:kern w:val="0"/>
          <w:sz w:val="20"/>
          <w:szCs w:val="20"/>
          <w14:ligatures w14:val="none"/>
        </w:rPr>
      </w:pPr>
      <w:r w:rsidRPr="00534E7C">
        <w:rPr>
          <w:rFonts w:ascii="Arial" w:eastAsia="MS Mincho" w:hAnsi="Arial" w:cs="Arial"/>
          <w:kern w:val="0"/>
          <w:sz w:val="20"/>
          <w:szCs w:val="20"/>
          <w14:ligatures w14:val="none"/>
        </w:rPr>
        <w:t>El artículo 11.3 de la Ley de residuos exige una tasa que permita implantar sistemas de pago por generación respecto de cada actividad individualmente considerada</w:t>
      </w:r>
      <w:r w:rsidR="001E1FE8">
        <w:rPr>
          <w:rFonts w:ascii="Arial" w:eastAsia="MS Mincho" w:hAnsi="Arial" w:cs="Arial"/>
          <w:kern w:val="0"/>
          <w:sz w:val="20"/>
          <w:szCs w:val="20"/>
          <w14:ligatures w14:val="none"/>
        </w:rPr>
        <w:t>.</w:t>
      </w:r>
    </w:p>
    <w:p w14:paraId="0EBEEC46" w14:textId="77777777" w:rsidR="00534E7C" w:rsidRPr="00534E7C" w:rsidRDefault="00534E7C" w:rsidP="00534E7C">
      <w:pPr>
        <w:spacing w:after="140"/>
        <w:jc w:val="both"/>
        <w:rPr>
          <w:rFonts w:ascii="Arial" w:eastAsia="MS Mincho" w:hAnsi="Arial" w:cs="Arial"/>
          <w:kern w:val="0"/>
          <w:sz w:val="20"/>
          <w:szCs w:val="20"/>
          <w14:ligatures w14:val="none"/>
        </w:rPr>
      </w:pPr>
      <w:r w:rsidRPr="00534E7C">
        <w:rPr>
          <w:rFonts w:ascii="Arial" w:eastAsia="MS Mincho" w:hAnsi="Arial" w:cs="Arial"/>
          <w:kern w:val="0"/>
          <w:sz w:val="20"/>
          <w:szCs w:val="20"/>
          <w14:ligatures w14:val="none"/>
        </w:rPr>
        <w:lastRenderedPageBreak/>
        <w:t>Se cuestiona la suficiencia de la justificación de la ponderación conjunta, especialmente cuando una imputación discutida de costes fijos y una estimación comercial indirecta condicionan el reparto.</w:t>
      </w:r>
    </w:p>
    <w:p w14:paraId="41F170B8" w14:textId="247E18F6" w:rsidR="001E1FE8" w:rsidRDefault="001E1FE8" w:rsidP="00534E7C">
      <w:pPr>
        <w:spacing w:after="140"/>
        <w:jc w:val="both"/>
        <w:rPr>
          <w:rFonts w:ascii="Arial" w:eastAsia="MS Mincho" w:hAnsi="Arial" w:cs="Arial"/>
          <w:kern w:val="0"/>
          <w:sz w:val="20"/>
          <w:szCs w:val="20"/>
          <w14:ligatures w14:val="none"/>
        </w:rPr>
      </w:pPr>
      <w:r>
        <w:rPr>
          <w:rFonts w:ascii="Arial" w:eastAsia="MS Mincho" w:hAnsi="Arial" w:cs="Arial"/>
          <w:kern w:val="0"/>
          <w:sz w:val="20"/>
          <w:szCs w:val="20"/>
          <w14:ligatures w14:val="none"/>
        </w:rPr>
        <w:t>Así, las</w:t>
      </w:r>
      <w:r w:rsidR="00534E7C" w:rsidRPr="00534E7C">
        <w:rPr>
          <w:rFonts w:ascii="Arial" w:eastAsia="MS Mincho" w:hAnsi="Arial" w:cs="Arial"/>
          <w:kern w:val="0"/>
          <w:sz w:val="20"/>
          <w:szCs w:val="20"/>
          <w14:ligatures w14:val="none"/>
        </w:rPr>
        <w:t xml:space="preserve"> medias </w:t>
      </w:r>
      <w:r>
        <w:rPr>
          <w:rFonts w:ascii="Arial" w:eastAsia="MS Mincho" w:hAnsi="Arial" w:cs="Arial"/>
          <w:kern w:val="0"/>
          <w:sz w:val="20"/>
          <w:szCs w:val="20"/>
          <w14:ligatures w14:val="none"/>
        </w:rPr>
        <w:t xml:space="preserve">consideradas para cada </w:t>
      </w:r>
      <w:r w:rsidR="00534E7C" w:rsidRPr="00534E7C">
        <w:rPr>
          <w:rFonts w:ascii="Arial" w:eastAsia="MS Mincho" w:hAnsi="Arial" w:cs="Arial"/>
          <w:kern w:val="0"/>
          <w:sz w:val="20"/>
          <w:szCs w:val="20"/>
          <w14:ligatures w14:val="none"/>
        </w:rPr>
        <w:t xml:space="preserve">barrio </w:t>
      </w:r>
      <w:r>
        <w:rPr>
          <w:rFonts w:ascii="Arial" w:eastAsia="MS Mincho" w:hAnsi="Arial" w:cs="Arial"/>
          <w:kern w:val="0"/>
          <w:sz w:val="20"/>
          <w:szCs w:val="20"/>
          <w14:ligatures w14:val="none"/>
        </w:rPr>
        <w:t xml:space="preserve">por </w:t>
      </w:r>
      <w:r w:rsidR="00534E7C" w:rsidRPr="00534E7C">
        <w:rPr>
          <w:rFonts w:ascii="Arial" w:eastAsia="MS Mincho" w:hAnsi="Arial" w:cs="Arial"/>
          <w:kern w:val="0"/>
          <w:sz w:val="20"/>
          <w:szCs w:val="20"/>
          <w14:ligatures w14:val="none"/>
        </w:rPr>
        <w:t>generación</w:t>
      </w:r>
      <w:r>
        <w:rPr>
          <w:rFonts w:ascii="Arial" w:eastAsia="MS Mincho" w:hAnsi="Arial" w:cs="Arial"/>
          <w:kern w:val="0"/>
          <w:sz w:val="20"/>
          <w:szCs w:val="20"/>
          <w14:ligatures w14:val="none"/>
        </w:rPr>
        <w:t>, con más adelante se indicará, afecta a la cuota imputada a cada una de las viviendas, sin atender a que en cada uno de estos barrios la actividad no residencial es heterogénea.</w:t>
      </w:r>
    </w:p>
    <w:p w14:paraId="46F25008" w14:textId="50AA2045" w:rsidR="00534E7C" w:rsidRPr="00534E7C" w:rsidRDefault="00534E7C" w:rsidP="00534E7C">
      <w:pPr>
        <w:spacing w:after="140"/>
        <w:jc w:val="both"/>
        <w:rPr>
          <w:rFonts w:ascii="Arial" w:eastAsia="MS Mincho" w:hAnsi="Arial" w:cs="Arial"/>
          <w:kern w:val="0"/>
          <w:sz w:val="20"/>
          <w:szCs w:val="20"/>
          <w14:ligatures w14:val="none"/>
        </w:rPr>
      </w:pPr>
      <w:r w:rsidRPr="00534E7C">
        <w:rPr>
          <w:rFonts w:ascii="Arial" w:eastAsia="MS Mincho" w:hAnsi="Arial" w:cs="Arial"/>
          <w:b/>
          <w:bCs/>
          <w:kern w:val="0"/>
          <w:sz w:val="20"/>
          <w:szCs w:val="20"/>
          <w14:ligatures w14:val="none"/>
        </w:rPr>
        <w:t>Por todo ello, impugno la intensidad de esa desconexión a la luz de las cifras del propio informe y del peso residual que se atribuye a la conducta individual.</w:t>
      </w:r>
    </w:p>
    <w:p w14:paraId="6E475BC4" w14:textId="58F5291C" w:rsidR="00534E7C" w:rsidRDefault="00534E7C" w:rsidP="007B3481">
      <w:pPr>
        <w:spacing w:after="140"/>
        <w:jc w:val="both"/>
        <w:rPr>
          <w:rFonts w:ascii="Arial" w:eastAsia="MS Mincho" w:hAnsi="Arial" w:cs="Arial"/>
          <w:kern w:val="0"/>
          <w:sz w:val="20"/>
          <w:szCs w:val="20"/>
          <w14:ligatures w14:val="none"/>
        </w:rPr>
      </w:pPr>
    </w:p>
    <w:p w14:paraId="44C33EA9" w14:textId="18CE830E" w:rsidR="007B3481" w:rsidRPr="00693AB2" w:rsidRDefault="00B96A39" w:rsidP="007B3481">
      <w:pPr>
        <w:spacing w:after="140"/>
        <w:jc w:val="both"/>
        <w:rPr>
          <w:rFonts w:ascii="Arial" w:eastAsia="MS Mincho" w:hAnsi="Arial" w:cs="Arial"/>
          <w:kern w:val="0"/>
          <w:sz w:val="20"/>
          <w:szCs w:val="20"/>
          <w14:ligatures w14:val="none"/>
        </w:rPr>
      </w:pPr>
      <w:r w:rsidRPr="00534E7C">
        <w:rPr>
          <w:rFonts w:ascii="Arial" w:eastAsia="MS Mincho" w:hAnsi="Arial" w:cs="Arial"/>
          <w:b/>
          <w:bCs/>
          <w:kern w:val="0"/>
          <w:sz w:val="20"/>
          <w:szCs w:val="20"/>
          <w14:ligatures w14:val="none"/>
        </w:rPr>
        <w:t>SEGUND</w:t>
      </w:r>
      <w:r>
        <w:rPr>
          <w:rFonts w:ascii="Arial" w:eastAsia="MS Mincho" w:hAnsi="Arial" w:cs="Arial"/>
          <w:b/>
          <w:bCs/>
          <w:kern w:val="0"/>
          <w:sz w:val="20"/>
          <w:szCs w:val="20"/>
          <w14:ligatures w14:val="none"/>
        </w:rPr>
        <w:t>A</w:t>
      </w:r>
      <w:r w:rsidR="00534E7C">
        <w:rPr>
          <w:rFonts w:ascii="Arial" w:eastAsia="MS Mincho" w:hAnsi="Arial" w:cs="Arial"/>
          <w:kern w:val="0"/>
          <w:sz w:val="20"/>
          <w:szCs w:val="20"/>
          <w14:ligatures w14:val="none"/>
        </w:rPr>
        <w:t>.</w:t>
      </w:r>
      <w:r w:rsidR="007B3481" w:rsidRPr="00693AB2">
        <w:rPr>
          <w:rFonts w:ascii="Arial" w:eastAsia="MS Mincho" w:hAnsi="Arial" w:cs="Arial"/>
          <w:kern w:val="0"/>
          <w:sz w:val="20"/>
          <w:szCs w:val="20"/>
          <w14:ligatures w14:val="none"/>
        </w:rPr>
        <w:t xml:space="preserve"> </w:t>
      </w:r>
      <w:r w:rsidR="007B3481" w:rsidRPr="00693AB2">
        <w:rPr>
          <w:rFonts w:ascii="Arial" w:eastAsia="MS Mincho" w:hAnsi="Arial" w:cs="Arial"/>
          <w:b/>
          <w:bCs/>
          <w:kern w:val="0"/>
          <w:sz w:val="20"/>
          <w:szCs w:val="20"/>
          <w14:ligatures w14:val="none"/>
        </w:rPr>
        <w:t>Incompatibilidad entre el resultado económico del expediente y la exigencia legal de una tasa no deficitaria.</w:t>
      </w:r>
      <w:r w:rsidR="007B3481" w:rsidRPr="00693AB2">
        <w:rPr>
          <w:rFonts w:ascii="Arial" w:eastAsia="MS Mincho" w:hAnsi="Arial" w:cs="Arial"/>
          <w:kern w:val="0"/>
          <w:sz w:val="20"/>
          <w:szCs w:val="20"/>
          <w14:ligatures w14:val="none"/>
        </w:rPr>
        <w:t xml:space="preserve"> </w:t>
      </w:r>
    </w:p>
    <w:p w14:paraId="1147C4D8" w14:textId="37C9E512" w:rsidR="007B3481" w:rsidRPr="00693AB2" w:rsidRDefault="007B3481" w:rsidP="007B3481">
      <w:pPr>
        <w:spacing w:after="140"/>
        <w:jc w:val="both"/>
        <w:rPr>
          <w:rFonts w:ascii="Arial" w:eastAsia="MS Mincho" w:hAnsi="Arial" w:cs="Arial"/>
          <w:kern w:val="0"/>
          <w:sz w:val="20"/>
          <w:szCs w:val="20"/>
          <w14:ligatures w14:val="none"/>
        </w:rPr>
      </w:pPr>
      <w:r w:rsidRPr="00693AB2">
        <w:rPr>
          <w:rFonts w:ascii="Arial" w:eastAsia="MS Mincho" w:hAnsi="Arial" w:cs="Arial"/>
          <w:kern w:val="0"/>
          <w:sz w:val="20"/>
          <w:szCs w:val="20"/>
          <w14:ligatures w14:val="none"/>
        </w:rPr>
        <w:t xml:space="preserve">El artículo 11.3 de la Ley </w:t>
      </w:r>
      <w:r w:rsidR="00D8353A" w:rsidRPr="00693AB2">
        <w:rPr>
          <w:rFonts w:ascii="Arial" w:eastAsia="MS Mincho" w:hAnsi="Arial" w:cs="Arial"/>
          <w:kern w:val="0"/>
          <w:sz w:val="20"/>
          <w:szCs w:val="20"/>
          <w14:ligatures w14:val="none"/>
        </w:rPr>
        <w:t>de residuos</w:t>
      </w:r>
      <w:r w:rsidRPr="00693AB2">
        <w:rPr>
          <w:rFonts w:ascii="Arial" w:eastAsia="MS Mincho" w:hAnsi="Arial" w:cs="Arial"/>
          <w:kern w:val="0"/>
          <w:sz w:val="20"/>
          <w:szCs w:val="20"/>
          <w14:ligatures w14:val="none"/>
        </w:rPr>
        <w:t xml:space="preserve"> ordena establecer una tasa específica, diferenciada y no deficitaria que refleje el coste real, directo o indirecto, del servicio. La parte IV del </w:t>
      </w:r>
      <w:hyperlink r:id="rId7" w:history="1">
        <w:r w:rsidRPr="00693AB2">
          <w:rPr>
            <w:rFonts w:ascii="Arial" w:eastAsia="MS Mincho" w:hAnsi="Arial" w:cs="Arial"/>
            <w:color w:val="0000FF"/>
            <w:kern w:val="0"/>
            <w:sz w:val="20"/>
            <w:szCs w:val="20"/>
            <w:u w:val="single"/>
            <w14:ligatures w14:val="none"/>
          </w:rPr>
          <w:t>informe técnico económico</w:t>
        </w:r>
      </w:hyperlink>
      <w:r w:rsidRPr="00693AB2">
        <w:rPr>
          <w:rFonts w:ascii="Arial" w:eastAsia="MS Mincho" w:hAnsi="Arial" w:cs="Arial"/>
          <w:kern w:val="0"/>
          <w:sz w:val="20"/>
          <w:szCs w:val="20"/>
          <w14:ligatures w14:val="none"/>
        </w:rPr>
        <w:t xml:space="preserve"> firmado el 21 de octubre de 2025 (tablas 152, 154 y 155, páginas 98 a 100) estima un coste neto de 324.319.395,93 euros, una cuota íntegra agregada de 324.314.799,52 euros y, tras topes, exenciones, reducciones y bonificaciones, derechos reconocidos netos de 300.874.547,12 euros. Su propia conclusión fija el grado de cobertura de la tasa en el 92,77 %. La diferencia entre coste neto y derechos netos es de 23.444.848,81 euros.</w:t>
      </w:r>
    </w:p>
    <w:p w14:paraId="09575815" w14:textId="77777777" w:rsidR="007B3481" w:rsidRPr="00693AB2" w:rsidRDefault="007B3481" w:rsidP="007B3481">
      <w:pPr>
        <w:spacing w:after="140"/>
        <w:jc w:val="both"/>
        <w:rPr>
          <w:rFonts w:ascii="Arial" w:eastAsia="MS Mincho" w:hAnsi="Arial" w:cs="Arial"/>
          <w:kern w:val="0"/>
          <w:sz w:val="20"/>
          <w:szCs w:val="20"/>
          <w14:ligatures w14:val="none"/>
        </w:rPr>
      </w:pPr>
      <w:r w:rsidRPr="00693AB2">
        <w:rPr>
          <w:rFonts w:ascii="Arial" w:eastAsia="MS Mincho" w:hAnsi="Arial" w:cs="Arial"/>
          <w:kern w:val="0"/>
          <w:sz w:val="20"/>
          <w:szCs w:val="20"/>
          <w14:ligatures w14:val="none"/>
        </w:rPr>
        <w:t xml:space="preserve">La cuota íntegra proyectada se aproxima al coste antes de aplicar los beneficios y topes que la propia ordenanza prevé; sin embargo, el rendimiento neto que el informe atribuye a la tasa queda sustancialmente por debajo del coste neto que dice financiar. El </w:t>
      </w:r>
      <w:hyperlink r:id="rId8" w:history="1">
        <w:r w:rsidRPr="00693AB2">
          <w:rPr>
            <w:rFonts w:ascii="Arial" w:eastAsia="MS Mincho" w:hAnsi="Arial" w:cs="Arial"/>
            <w:color w:val="0000FF"/>
            <w:kern w:val="0"/>
            <w:sz w:val="20"/>
            <w:szCs w:val="20"/>
            <w:u w:val="single"/>
            <w14:ligatures w14:val="none"/>
          </w:rPr>
          <w:t>informe de la Asesoría Jurídica</w:t>
        </w:r>
      </w:hyperlink>
      <w:r w:rsidRPr="00693AB2">
        <w:rPr>
          <w:rFonts w:ascii="Arial" w:eastAsia="MS Mincho" w:hAnsi="Arial" w:cs="Arial"/>
          <w:kern w:val="0"/>
          <w:sz w:val="20"/>
          <w:szCs w:val="20"/>
          <w14:ligatures w14:val="none"/>
        </w:rPr>
        <w:t xml:space="preserve"> de 20 de octubre de 2025 afirma a la vez que la tasa no es deficitaria y que su cobertura es del 92,77 % (páginas 6 y 8). La </w:t>
      </w:r>
      <w:hyperlink r:id="rId9" w:history="1">
        <w:r w:rsidRPr="00693AB2">
          <w:rPr>
            <w:rFonts w:ascii="Arial" w:eastAsia="MS Mincho" w:hAnsi="Arial" w:cs="Arial"/>
            <w:color w:val="0000FF"/>
            <w:kern w:val="0"/>
            <w:sz w:val="20"/>
            <w:szCs w:val="20"/>
            <w:u w:val="single"/>
            <w14:ligatures w14:val="none"/>
          </w:rPr>
          <w:t>memoria de valoración de alegaciones</w:t>
        </w:r>
      </w:hyperlink>
      <w:r w:rsidRPr="00693AB2">
        <w:rPr>
          <w:rFonts w:ascii="Arial" w:eastAsia="MS Mincho" w:hAnsi="Arial" w:cs="Arial"/>
          <w:kern w:val="0"/>
          <w:sz w:val="20"/>
          <w:szCs w:val="20"/>
          <w14:ligatures w14:val="none"/>
        </w:rPr>
        <w:t xml:space="preserve"> de 26 de noviembre de 2025 utiliza expresamente la exigencia de no déficit para rechazar determinadas bonificaciones. Esta contradicción interna afecta a la justificación de las tarifas exigidas.</w:t>
      </w:r>
    </w:p>
    <w:p w14:paraId="76DAC749" w14:textId="0665FBAF" w:rsidR="007B3481" w:rsidRDefault="007B3481" w:rsidP="007B3481">
      <w:pPr>
        <w:spacing w:after="140"/>
        <w:jc w:val="both"/>
        <w:rPr>
          <w:rFonts w:ascii="Arial" w:eastAsia="MS Mincho" w:hAnsi="Arial" w:cs="Arial"/>
          <w:b/>
          <w:bCs/>
          <w:kern w:val="0"/>
          <w:sz w:val="20"/>
          <w:szCs w:val="20"/>
          <w14:ligatures w14:val="none"/>
        </w:rPr>
      </w:pPr>
      <w:r w:rsidRPr="00693AB2">
        <w:rPr>
          <w:rFonts w:ascii="Arial" w:eastAsia="MS Mincho" w:hAnsi="Arial" w:cs="Arial"/>
          <w:kern w:val="0"/>
          <w:sz w:val="20"/>
          <w:szCs w:val="20"/>
          <w14:ligatures w14:val="none"/>
        </w:rPr>
        <w:t xml:space="preserve">El artículo 24.2 TRLRHL impone que la recaudación de la tasa no exceda globalmente el coste real o previsible; no convierte en suficiente una recaudación inferior cuando la norma especial del artículo 11.3 de la Ley </w:t>
      </w:r>
      <w:r w:rsidR="00D8353A" w:rsidRPr="00693AB2">
        <w:rPr>
          <w:rFonts w:ascii="Arial" w:eastAsia="MS Mincho" w:hAnsi="Arial" w:cs="Arial"/>
          <w:kern w:val="0"/>
          <w:sz w:val="20"/>
          <w:szCs w:val="20"/>
          <w14:ligatures w14:val="none"/>
        </w:rPr>
        <w:t>de residuos</w:t>
      </w:r>
      <w:r w:rsidRPr="00693AB2">
        <w:rPr>
          <w:rFonts w:ascii="Arial" w:eastAsia="MS Mincho" w:hAnsi="Arial" w:cs="Arial"/>
          <w:kern w:val="0"/>
          <w:sz w:val="20"/>
          <w:szCs w:val="20"/>
          <w14:ligatures w14:val="none"/>
        </w:rPr>
        <w:t xml:space="preserve"> exige que la tasa de residuos no sea deficitaria. La eventual financiación de la diferencia con recursos tributarios generales no subsana por sí misma la insuficiencia de la tasa específica diseñada. Por ello, </w:t>
      </w:r>
      <w:r w:rsidRPr="00693AB2">
        <w:rPr>
          <w:rFonts w:ascii="Arial" w:eastAsia="MS Mincho" w:hAnsi="Arial" w:cs="Arial"/>
          <w:b/>
          <w:bCs/>
          <w:kern w:val="0"/>
          <w:sz w:val="20"/>
          <w:szCs w:val="20"/>
          <w14:ligatures w14:val="none"/>
        </w:rPr>
        <w:t>esta contradicción pone de manifiesto la falta de adecuación de la ordenanza aplicada al mandato legal y, en consecuencia, la improcedencia de la cuota derivada de ella.</w:t>
      </w:r>
    </w:p>
    <w:p w14:paraId="33F6EE5D" w14:textId="77777777" w:rsidR="00921A3E" w:rsidRPr="00693AB2" w:rsidRDefault="00921A3E" w:rsidP="007B3481">
      <w:pPr>
        <w:spacing w:after="140"/>
        <w:jc w:val="both"/>
        <w:rPr>
          <w:rFonts w:ascii="Arial" w:eastAsia="MS Mincho" w:hAnsi="Arial" w:cs="Arial"/>
          <w:b/>
          <w:bCs/>
          <w:kern w:val="0"/>
          <w:sz w:val="20"/>
          <w:szCs w:val="20"/>
          <w14:ligatures w14:val="none"/>
        </w:rPr>
      </w:pPr>
    </w:p>
    <w:p w14:paraId="421C3B6C" w14:textId="529A5AF9" w:rsidR="007B3481" w:rsidRPr="00693AB2" w:rsidRDefault="00B96A39" w:rsidP="007B3481">
      <w:pPr>
        <w:spacing w:after="140"/>
        <w:jc w:val="both"/>
        <w:rPr>
          <w:rFonts w:ascii="Arial" w:eastAsia="MS Mincho" w:hAnsi="Arial" w:cs="Arial"/>
          <w:b/>
          <w:bCs/>
          <w:kern w:val="0"/>
          <w:sz w:val="20"/>
          <w:szCs w:val="20"/>
          <w14:ligatures w14:val="none"/>
        </w:rPr>
      </w:pPr>
      <w:r>
        <w:rPr>
          <w:rFonts w:ascii="Arial" w:eastAsia="MS Mincho" w:hAnsi="Arial" w:cs="Arial"/>
          <w:b/>
          <w:bCs/>
          <w:kern w:val="0"/>
          <w:sz w:val="20"/>
          <w:szCs w:val="20"/>
          <w14:ligatures w14:val="none"/>
        </w:rPr>
        <w:t>TERCERA</w:t>
      </w:r>
      <w:r w:rsidR="007B3481" w:rsidRPr="00693AB2">
        <w:rPr>
          <w:rFonts w:ascii="Arial" w:eastAsia="MS Mincho" w:hAnsi="Arial" w:cs="Arial"/>
          <w:b/>
          <w:bCs/>
          <w:kern w:val="0"/>
          <w:sz w:val="20"/>
          <w:szCs w:val="20"/>
          <w14:ligatures w14:val="none"/>
        </w:rPr>
        <w:t xml:space="preserve">. Falta de correspondencia suficientemente justificada entre la base temporal de costes y las tarifas exigibles en 2026. </w:t>
      </w:r>
    </w:p>
    <w:p w14:paraId="50207A78" w14:textId="64C8214A" w:rsidR="007B3481" w:rsidRDefault="007B3481" w:rsidP="007B3481">
      <w:pPr>
        <w:spacing w:after="140"/>
        <w:jc w:val="both"/>
        <w:rPr>
          <w:rFonts w:ascii="Arial" w:eastAsia="MS Mincho" w:hAnsi="Arial" w:cs="Arial"/>
          <w:b/>
          <w:bCs/>
          <w:kern w:val="0"/>
          <w:sz w:val="20"/>
          <w:szCs w:val="20"/>
          <w14:ligatures w14:val="none"/>
        </w:rPr>
      </w:pPr>
      <w:r w:rsidRPr="00693AB2">
        <w:rPr>
          <w:rFonts w:ascii="Arial" w:eastAsia="MS Mincho" w:hAnsi="Arial" w:cs="Arial"/>
          <w:kern w:val="0"/>
          <w:sz w:val="20"/>
          <w:szCs w:val="20"/>
          <w14:ligatures w14:val="none"/>
        </w:rPr>
        <w:t xml:space="preserve">El informe fundamenta el coste fijo neto de 261.891.628,13 euros y el variable neto de 62.427.767,90 euros en magnitudes de 2024 (parte III, tabla 103, página 65), mientras establece la estructura de ingresos y tarifas para el ejercicio 2026. El artículo 25 TRLRHL exige que el informe técnico económico ponga de manifiesto el coste o valor del servicio que sustenta el acuerdo. </w:t>
      </w:r>
      <w:r w:rsidR="00B96A39">
        <w:rPr>
          <w:rFonts w:ascii="Arial" w:eastAsia="MS Mincho" w:hAnsi="Arial" w:cs="Arial"/>
          <w:kern w:val="0"/>
          <w:sz w:val="20"/>
          <w:szCs w:val="20"/>
          <w14:ligatures w14:val="none"/>
        </w:rPr>
        <w:t>Por tanto,</w:t>
      </w:r>
      <w:r w:rsidRPr="00693AB2">
        <w:rPr>
          <w:rFonts w:ascii="Arial" w:eastAsia="MS Mincho" w:hAnsi="Arial" w:cs="Arial"/>
          <w:kern w:val="0"/>
          <w:sz w:val="20"/>
          <w:szCs w:val="20"/>
          <w14:ligatures w14:val="none"/>
        </w:rPr>
        <w:t xml:space="preserve"> el expediente mantiene como base de cuantificación cifras de 2024 y, a la vez, afirma una suficiencia de cobertura para 2026 que sus propias tablas niegan. </w:t>
      </w:r>
      <w:r w:rsidRPr="00693AB2">
        <w:rPr>
          <w:rFonts w:ascii="Arial" w:eastAsia="MS Mincho" w:hAnsi="Arial" w:cs="Arial"/>
          <w:b/>
          <w:bCs/>
          <w:kern w:val="0"/>
          <w:sz w:val="20"/>
          <w:szCs w:val="20"/>
          <w14:ligatures w14:val="none"/>
        </w:rPr>
        <w:t>Esa discordancia hace insuficiente la justificación de la cuantía reclamada al recurrente.</w:t>
      </w:r>
    </w:p>
    <w:p w14:paraId="1B8600B4" w14:textId="77777777" w:rsidR="00921A3E" w:rsidRPr="00693AB2" w:rsidRDefault="00921A3E" w:rsidP="007B3481">
      <w:pPr>
        <w:spacing w:after="140"/>
        <w:jc w:val="both"/>
        <w:rPr>
          <w:rFonts w:ascii="Arial" w:eastAsia="MS Mincho" w:hAnsi="Arial" w:cs="Arial"/>
          <w:b/>
          <w:bCs/>
          <w:kern w:val="0"/>
          <w:sz w:val="20"/>
          <w:szCs w:val="20"/>
          <w14:ligatures w14:val="none"/>
        </w:rPr>
      </w:pPr>
    </w:p>
    <w:p w14:paraId="09073E70" w14:textId="62AC12BD" w:rsidR="007B3481" w:rsidRPr="00693AB2" w:rsidRDefault="00B96A39" w:rsidP="007B3481">
      <w:pPr>
        <w:spacing w:after="140"/>
        <w:jc w:val="both"/>
        <w:rPr>
          <w:rFonts w:ascii="Arial" w:eastAsia="MS Mincho" w:hAnsi="Arial" w:cs="Arial"/>
          <w:kern w:val="0"/>
          <w:sz w:val="20"/>
          <w:szCs w:val="20"/>
          <w14:ligatures w14:val="none"/>
        </w:rPr>
      </w:pPr>
      <w:r>
        <w:rPr>
          <w:rFonts w:ascii="Arial" w:eastAsia="MS Mincho" w:hAnsi="Arial" w:cs="Arial"/>
          <w:b/>
          <w:bCs/>
          <w:kern w:val="0"/>
          <w:sz w:val="20"/>
          <w:szCs w:val="20"/>
          <w14:ligatures w14:val="none"/>
        </w:rPr>
        <w:t>CUARTA</w:t>
      </w:r>
      <w:r w:rsidR="007B3481" w:rsidRPr="00693AB2">
        <w:rPr>
          <w:rFonts w:ascii="Arial" w:eastAsia="MS Mincho" w:hAnsi="Arial" w:cs="Arial"/>
          <w:kern w:val="0"/>
          <w:sz w:val="20"/>
          <w:szCs w:val="20"/>
          <w14:ligatures w14:val="none"/>
        </w:rPr>
        <w:t xml:space="preserve">. </w:t>
      </w:r>
      <w:r w:rsidR="007B3481" w:rsidRPr="00693AB2">
        <w:rPr>
          <w:rFonts w:ascii="Arial" w:eastAsia="MS Mincho" w:hAnsi="Arial" w:cs="Arial"/>
          <w:b/>
          <w:bCs/>
          <w:kern w:val="0"/>
          <w:sz w:val="20"/>
          <w:szCs w:val="20"/>
          <w14:ligatures w14:val="none"/>
        </w:rPr>
        <w:t>Inconsistencia del dato determinante de la tarifa por generación de 2026</w:t>
      </w:r>
      <w:r w:rsidR="007B3481" w:rsidRPr="00693AB2">
        <w:rPr>
          <w:rFonts w:ascii="Arial" w:eastAsia="MS Mincho" w:hAnsi="Arial" w:cs="Arial"/>
          <w:kern w:val="0"/>
          <w:sz w:val="20"/>
          <w:szCs w:val="20"/>
          <w14:ligatures w14:val="none"/>
        </w:rPr>
        <w:t xml:space="preserve">. </w:t>
      </w:r>
    </w:p>
    <w:p w14:paraId="75F3174A" w14:textId="77777777" w:rsidR="007B3481" w:rsidRPr="00693AB2" w:rsidRDefault="007B3481" w:rsidP="007B3481">
      <w:pPr>
        <w:spacing w:after="140"/>
        <w:jc w:val="both"/>
        <w:rPr>
          <w:rFonts w:ascii="Arial" w:eastAsia="MS Mincho" w:hAnsi="Arial" w:cs="Arial"/>
          <w:kern w:val="0"/>
          <w:sz w:val="20"/>
          <w:szCs w:val="20"/>
          <w14:ligatures w14:val="none"/>
        </w:rPr>
      </w:pPr>
      <w:r w:rsidRPr="00693AB2">
        <w:rPr>
          <w:rFonts w:ascii="Arial" w:eastAsia="MS Mincho" w:hAnsi="Arial" w:cs="Arial"/>
          <w:kern w:val="0"/>
          <w:sz w:val="20"/>
          <w:szCs w:val="20"/>
          <w14:ligatures w14:val="none"/>
        </w:rPr>
        <w:t>La resolución de 27 de marzo de 2026 (</w:t>
      </w:r>
      <w:hyperlink r:id="rId10" w:history="1">
        <w:r w:rsidRPr="00693AB2">
          <w:rPr>
            <w:rFonts w:ascii="Arial" w:eastAsia="MS Mincho" w:hAnsi="Arial" w:cs="Arial"/>
            <w:color w:val="0000FF"/>
            <w:kern w:val="0"/>
            <w:sz w:val="20"/>
            <w:szCs w:val="20"/>
            <w:u w:val="single"/>
            <w14:ligatures w14:val="none"/>
          </w:rPr>
          <w:t>BOAM núm. 10.097, de 31 de marzo</w:t>
        </w:r>
      </w:hyperlink>
      <w:r w:rsidRPr="00693AB2">
        <w:rPr>
          <w:rFonts w:ascii="Arial" w:eastAsia="MS Mincho" w:hAnsi="Arial" w:cs="Arial"/>
          <w:kern w:val="0"/>
          <w:sz w:val="20"/>
          <w:szCs w:val="20"/>
          <w14:ligatures w14:val="none"/>
        </w:rPr>
        <w:t xml:space="preserve">) publica los kilogramos residenciales por habitante y barrio, referidos a residuos de 2025, e indica en su anexo que el divisor es el número de empadronados en cada barrio a </w:t>
      </w:r>
      <w:r w:rsidRPr="00693AB2">
        <w:rPr>
          <w:rFonts w:ascii="Arial" w:eastAsia="MS Mincho" w:hAnsi="Arial" w:cs="Arial"/>
          <w:b/>
          <w:bCs/>
          <w:kern w:val="0"/>
          <w:sz w:val="20"/>
          <w:szCs w:val="20"/>
          <w14:ligatures w14:val="none"/>
        </w:rPr>
        <w:t>1 de marzo de 2026</w:t>
      </w:r>
      <w:r w:rsidRPr="00693AB2">
        <w:rPr>
          <w:rFonts w:ascii="Arial" w:eastAsia="MS Mincho" w:hAnsi="Arial" w:cs="Arial"/>
          <w:kern w:val="0"/>
          <w:sz w:val="20"/>
          <w:szCs w:val="20"/>
          <w14:ligatures w14:val="none"/>
        </w:rPr>
        <w:t xml:space="preserve"> (página 23 BOAM). En cambio, </w:t>
      </w:r>
      <w:hyperlink r:id="rId11" w:history="1">
        <w:r w:rsidRPr="00693AB2">
          <w:rPr>
            <w:rFonts w:ascii="Arial" w:eastAsia="MS Mincho" w:hAnsi="Arial" w:cs="Arial"/>
            <w:color w:val="0000FF"/>
            <w:kern w:val="0"/>
            <w:sz w:val="20"/>
            <w:szCs w:val="20"/>
            <w:u w:val="single"/>
            <w14:ligatures w14:val="none"/>
          </w:rPr>
          <w:t>la información oficial de cálculo</w:t>
        </w:r>
      </w:hyperlink>
      <w:r w:rsidRPr="00693AB2">
        <w:rPr>
          <w:rFonts w:ascii="Arial" w:eastAsia="MS Mincho" w:hAnsi="Arial" w:cs="Arial"/>
          <w:kern w:val="0"/>
          <w:sz w:val="20"/>
          <w:szCs w:val="20"/>
          <w14:ligatures w14:val="none"/>
        </w:rPr>
        <w:t xml:space="preserve"> de la cuota residencial de 2026 publicada por la Agencia Tributaria Madrid dice expresamente que se divide por los empadronados del barrio a </w:t>
      </w:r>
      <w:r w:rsidRPr="00693AB2">
        <w:rPr>
          <w:rFonts w:ascii="Arial" w:eastAsia="MS Mincho" w:hAnsi="Arial" w:cs="Arial"/>
          <w:b/>
          <w:bCs/>
          <w:kern w:val="0"/>
          <w:sz w:val="20"/>
          <w:szCs w:val="20"/>
          <w14:ligatures w14:val="none"/>
        </w:rPr>
        <w:t>1 de enero de 2026</w:t>
      </w:r>
      <w:r w:rsidRPr="00693AB2">
        <w:rPr>
          <w:rFonts w:ascii="Arial" w:eastAsia="MS Mincho" w:hAnsi="Arial" w:cs="Arial"/>
          <w:kern w:val="0"/>
          <w:sz w:val="20"/>
          <w:szCs w:val="20"/>
          <w14:ligatures w14:val="none"/>
        </w:rPr>
        <w:t xml:space="preserve">. Se </w:t>
      </w:r>
      <w:r w:rsidRPr="00693AB2">
        <w:rPr>
          <w:rFonts w:ascii="Arial" w:eastAsia="MS Mincho" w:hAnsi="Arial" w:cs="Arial"/>
          <w:kern w:val="0"/>
          <w:sz w:val="20"/>
          <w:szCs w:val="20"/>
          <w14:ligatures w14:val="none"/>
        </w:rPr>
        <w:lastRenderedPageBreak/>
        <w:t xml:space="preserve">publican así </w:t>
      </w:r>
      <w:r w:rsidRPr="00693AB2">
        <w:rPr>
          <w:rFonts w:ascii="Arial" w:eastAsia="MS Mincho" w:hAnsi="Arial" w:cs="Arial"/>
          <w:b/>
          <w:bCs/>
          <w:kern w:val="0"/>
          <w:sz w:val="20"/>
          <w:szCs w:val="20"/>
          <w14:ligatures w14:val="none"/>
        </w:rPr>
        <w:t>dos fechas distintas para el denominador del mismo indicador,</w:t>
      </w:r>
      <w:r w:rsidRPr="00693AB2">
        <w:rPr>
          <w:rFonts w:ascii="Arial" w:eastAsia="MS Mincho" w:hAnsi="Arial" w:cs="Arial"/>
          <w:kern w:val="0"/>
          <w:sz w:val="20"/>
          <w:szCs w:val="20"/>
          <w14:ligatures w14:val="none"/>
        </w:rPr>
        <w:t xml:space="preserve"> que determina la columna de la tarifa por generación del anexo A.2. No es un dato accesorio: una variación que haga pasar el indicador de 130, 165, 200 o 500 kilogramos altera la cuota aplicable.</w:t>
      </w:r>
    </w:p>
    <w:p w14:paraId="09D17277" w14:textId="6CB1F8A9" w:rsidR="007B3481" w:rsidRDefault="007B3481" w:rsidP="007B3481">
      <w:pPr>
        <w:spacing w:after="140"/>
        <w:jc w:val="both"/>
        <w:rPr>
          <w:rFonts w:ascii="Arial" w:eastAsia="MS Mincho" w:hAnsi="Arial" w:cs="Arial"/>
          <w:kern w:val="0"/>
          <w:sz w:val="20"/>
          <w:szCs w:val="20"/>
          <w14:ligatures w14:val="none"/>
        </w:rPr>
      </w:pPr>
      <w:r w:rsidRPr="00693AB2">
        <w:rPr>
          <w:rFonts w:ascii="Arial" w:eastAsia="MS Mincho" w:hAnsi="Arial" w:cs="Arial"/>
          <w:kern w:val="0"/>
          <w:sz w:val="20"/>
          <w:szCs w:val="20"/>
          <w14:ligatures w14:val="none"/>
        </w:rPr>
        <w:t xml:space="preserve">La ordenanza, en sus artículos 9, 10.2 y 12.2 y 12.3, incorpora ese indicador a la cuantificación del recibo y exige la publicación de los datos necesarios. La contradicción de las fuentes oficiales impide tener por acreditado que el tramo aplicado en este recibo derive de una magnitud única, coherente y correctamente fijada. </w:t>
      </w:r>
      <w:r w:rsidRPr="00693AB2">
        <w:rPr>
          <w:rFonts w:ascii="Arial" w:eastAsia="MS Mincho" w:hAnsi="Arial" w:cs="Arial"/>
          <w:b/>
          <w:bCs/>
          <w:kern w:val="0"/>
          <w:sz w:val="20"/>
          <w:szCs w:val="20"/>
          <w14:ligatures w14:val="none"/>
        </w:rPr>
        <w:t>Se denuncia la falta de determinación fiable del parámetro aplicado y se interesa la anulación del recibo</w:t>
      </w:r>
      <w:r w:rsidRPr="00693AB2">
        <w:rPr>
          <w:rFonts w:ascii="Arial" w:eastAsia="MS Mincho" w:hAnsi="Arial" w:cs="Arial"/>
          <w:kern w:val="0"/>
          <w:sz w:val="20"/>
          <w:szCs w:val="20"/>
          <w14:ligatures w14:val="none"/>
        </w:rPr>
        <w:t>.</w:t>
      </w:r>
    </w:p>
    <w:p w14:paraId="6DF19A2F" w14:textId="744B6B3D" w:rsidR="00534E7C" w:rsidRPr="00534E7C" w:rsidRDefault="00151424" w:rsidP="00534E7C">
      <w:pPr>
        <w:spacing w:after="140"/>
        <w:jc w:val="both"/>
        <w:rPr>
          <w:rFonts w:ascii="Arial" w:eastAsia="MS Mincho" w:hAnsi="Arial" w:cs="Arial"/>
          <w:kern w:val="0"/>
          <w:sz w:val="20"/>
          <w:szCs w:val="20"/>
          <w14:ligatures w14:val="none"/>
        </w:rPr>
      </w:pPr>
      <w:r>
        <w:rPr>
          <w:rFonts w:ascii="Arial" w:eastAsia="MS Mincho" w:hAnsi="Arial" w:cs="Arial"/>
          <w:kern w:val="0"/>
          <w:sz w:val="20"/>
          <w:szCs w:val="20"/>
          <w14:ligatures w14:val="none"/>
        </w:rPr>
        <w:t xml:space="preserve">Por su parte, </w:t>
      </w:r>
      <w:r w:rsidR="00534E7C">
        <w:rPr>
          <w:rFonts w:ascii="Arial" w:eastAsia="MS Mincho" w:hAnsi="Arial" w:cs="Arial"/>
          <w:kern w:val="0"/>
          <w:sz w:val="20"/>
          <w:szCs w:val="20"/>
          <w14:ligatures w14:val="none"/>
        </w:rPr>
        <w:t>e</w:t>
      </w:r>
      <w:r w:rsidR="00534E7C" w:rsidRPr="00534E7C">
        <w:rPr>
          <w:rFonts w:ascii="Arial" w:eastAsia="MS Mincho" w:hAnsi="Arial" w:cs="Arial"/>
          <w:kern w:val="0"/>
          <w:sz w:val="20"/>
          <w:szCs w:val="20"/>
          <w14:ligatures w14:val="none"/>
        </w:rPr>
        <w:t xml:space="preserve">l artículo 16 del TRLRHL exige que la ordenanza fiscal regule los </w:t>
      </w:r>
      <w:r w:rsidR="00534E7C" w:rsidRPr="00534E7C">
        <w:rPr>
          <w:rFonts w:ascii="Arial" w:eastAsia="MS Mincho" w:hAnsi="Arial" w:cs="Arial"/>
          <w:b/>
          <w:bCs/>
          <w:kern w:val="0"/>
          <w:sz w:val="20"/>
          <w:szCs w:val="20"/>
          <w14:ligatures w14:val="none"/>
        </w:rPr>
        <w:t>elementos que determinan la cuota tributaria</w:t>
      </w:r>
      <w:r w:rsidR="00534E7C" w:rsidRPr="00534E7C">
        <w:rPr>
          <w:rFonts w:ascii="Arial" w:eastAsia="MS Mincho" w:hAnsi="Arial" w:cs="Arial"/>
          <w:kern w:val="0"/>
          <w:sz w:val="20"/>
          <w:szCs w:val="20"/>
          <w14:ligatures w14:val="none"/>
        </w:rPr>
        <w:t xml:space="preserve">. En este caso, aunque la ordenanza establece las tarifas y los coeficientes, el cálculo del recibo depende también de datos que no aparecen directamente en ella: </w:t>
      </w:r>
      <w:r w:rsidR="00534E7C" w:rsidRPr="00534E7C">
        <w:rPr>
          <w:rFonts w:ascii="Arial" w:eastAsia="MS Mincho" w:hAnsi="Arial" w:cs="Arial"/>
          <w:b/>
          <w:bCs/>
          <w:kern w:val="0"/>
          <w:sz w:val="20"/>
          <w:szCs w:val="20"/>
          <w14:ligatures w14:val="none"/>
        </w:rPr>
        <w:t>el número de empadronados de cada vivienda, los residuos atribuidos a cada persona y barrio y el porcentaje de separación correcta de residuos</w:t>
      </w:r>
      <w:r w:rsidR="00534E7C" w:rsidRPr="00534E7C">
        <w:rPr>
          <w:rFonts w:ascii="Arial" w:eastAsia="MS Mincho" w:hAnsi="Arial" w:cs="Arial"/>
          <w:kern w:val="0"/>
          <w:sz w:val="20"/>
          <w:szCs w:val="20"/>
          <w14:ligatures w14:val="none"/>
        </w:rPr>
        <w:t>.</w:t>
      </w:r>
    </w:p>
    <w:p w14:paraId="68B4ED64" w14:textId="0ED90B58" w:rsidR="00534E7C" w:rsidRPr="00534E7C" w:rsidRDefault="00534E7C" w:rsidP="00534E7C">
      <w:pPr>
        <w:spacing w:after="140"/>
        <w:jc w:val="both"/>
        <w:rPr>
          <w:rFonts w:ascii="Arial" w:eastAsia="MS Mincho" w:hAnsi="Arial" w:cs="Arial"/>
          <w:kern w:val="0"/>
          <w:sz w:val="20"/>
          <w:szCs w:val="20"/>
          <w14:ligatures w14:val="none"/>
        </w:rPr>
      </w:pPr>
      <w:r w:rsidRPr="00534E7C">
        <w:rPr>
          <w:rFonts w:ascii="Arial" w:eastAsia="MS Mincho" w:hAnsi="Arial" w:cs="Arial"/>
          <w:kern w:val="0"/>
          <w:sz w:val="20"/>
          <w:szCs w:val="20"/>
          <w14:ligatures w14:val="none"/>
        </w:rPr>
        <w:t>Respecto del número de residentes, la ordenanza remite al Padrón Municipal a 1 de enero. Por tanto, la correcta cuantificación exige que el número aplicado al inmueble coincida con el dato que legalmente corresponda y pueda ser comprobado por el obligado tributario.</w:t>
      </w:r>
    </w:p>
    <w:p w14:paraId="0003F9F6" w14:textId="77777777" w:rsidR="00534E7C" w:rsidRPr="00534E7C" w:rsidRDefault="00534E7C" w:rsidP="00534E7C">
      <w:pPr>
        <w:spacing w:after="140"/>
        <w:jc w:val="both"/>
        <w:rPr>
          <w:rFonts w:ascii="Arial" w:eastAsia="MS Mincho" w:hAnsi="Arial" w:cs="Arial"/>
          <w:kern w:val="0"/>
          <w:sz w:val="20"/>
          <w:szCs w:val="20"/>
          <w14:ligatures w14:val="none"/>
        </w:rPr>
      </w:pPr>
      <w:r w:rsidRPr="00534E7C">
        <w:rPr>
          <w:rFonts w:ascii="Arial" w:eastAsia="MS Mincho" w:hAnsi="Arial" w:cs="Arial"/>
          <w:kern w:val="0"/>
          <w:sz w:val="20"/>
          <w:szCs w:val="20"/>
          <w14:ligatures w14:val="none"/>
        </w:rPr>
        <w:t>En cuanto a los kilos de residuos por persona y barrio, la ordenanza no recoge sus valores concretos, sino que remite a su publicación anual. Estos datos proceden de un cálculo indirecto que resta de los residuos totales una estimación de los generados por actividades no residenciales. Por ello, la cifra publicada debe estar respaldada por una explicación suficiente de las operaciones y criterios utilizados, que permita comprobar que los residuos atribuidos a los hogares corresponden efectivamente al uso residencial.</w:t>
      </w:r>
    </w:p>
    <w:p w14:paraId="339903AC" w14:textId="77777777" w:rsidR="00534E7C" w:rsidRPr="00534E7C" w:rsidRDefault="00534E7C" w:rsidP="00534E7C">
      <w:pPr>
        <w:spacing w:after="140"/>
        <w:jc w:val="both"/>
        <w:rPr>
          <w:rFonts w:ascii="Arial" w:eastAsia="MS Mincho" w:hAnsi="Arial" w:cs="Arial"/>
          <w:kern w:val="0"/>
          <w:sz w:val="20"/>
          <w:szCs w:val="20"/>
          <w14:ligatures w14:val="none"/>
        </w:rPr>
      </w:pPr>
      <w:r w:rsidRPr="00534E7C">
        <w:rPr>
          <w:rFonts w:ascii="Arial" w:eastAsia="MS Mincho" w:hAnsi="Arial" w:cs="Arial"/>
          <w:kern w:val="0"/>
          <w:sz w:val="20"/>
          <w:szCs w:val="20"/>
          <w14:ligatures w14:val="none"/>
        </w:rPr>
        <w:t>Lo mismo sucede con el porcentaje de separación correcta. El anexo de la ordenanza establece los coeficientes aplicables a cada intervalo, pero el porcentaje asignado a cada barrio se determina fuera de ella. La publicación del resultado no sustituye la justificación de cómo se ha calculado y de por qué procede aplicar al inmueble el coeficiente correspondiente.</w:t>
      </w:r>
    </w:p>
    <w:p w14:paraId="102EA4E5" w14:textId="3794EA9D" w:rsidR="00534E7C" w:rsidRPr="00534E7C" w:rsidRDefault="00534E7C" w:rsidP="00534E7C">
      <w:pPr>
        <w:spacing w:after="140"/>
        <w:jc w:val="both"/>
        <w:rPr>
          <w:rFonts w:ascii="Arial" w:eastAsia="MS Mincho" w:hAnsi="Arial" w:cs="Arial"/>
          <w:kern w:val="0"/>
          <w:sz w:val="20"/>
          <w:szCs w:val="20"/>
          <w14:ligatures w14:val="none"/>
        </w:rPr>
      </w:pPr>
      <w:r w:rsidRPr="00534E7C">
        <w:rPr>
          <w:rFonts w:ascii="Arial" w:eastAsia="MS Mincho" w:hAnsi="Arial" w:cs="Arial"/>
          <w:kern w:val="0"/>
          <w:sz w:val="20"/>
          <w:szCs w:val="20"/>
          <w14:ligatures w14:val="none"/>
        </w:rPr>
        <w:t>La remisión a datos anuales no permite dejar indeterminados los criterios de cálculo ni suplir mediante el informe técnico-económico decisiones que deban quedar suficientemente fijadas en la ordenanza.</w:t>
      </w:r>
    </w:p>
    <w:p w14:paraId="6878AA76" w14:textId="12442555" w:rsidR="00534E7C" w:rsidRDefault="00534E7C" w:rsidP="00534E7C">
      <w:pPr>
        <w:spacing w:after="140"/>
        <w:jc w:val="both"/>
        <w:rPr>
          <w:rFonts w:ascii="Arial" w:eastAsia="MS Mincho" w:hAnsi="Arial" w:cs="Arial"/>
          <w:color w:val="FF0000"/>
          <w:kern w:val="0"/>
          <w:sz w:val="20"/>
          <w:szCs w:val="20"/>
          <w14:ligatures w14:val="none"/>
        </w:rPr>
      </w:pPr>
      <w:r w:rsidRPr="00534E7C">
        <w:rPr>
          <w:rFonts w:ascii="Arial" w:eastAsia="MS Mincho" w:hAnsi="Arial" w:cs="Arial"/>
          <w:kern w:val="0"/>
          <w:sz w:val="20"/>
          <w:szCs w:val="20"/>
          <w14:ligatures w14:val="none"/>
        </w:rPr>
        <w:t xml:space="preserve">Esta insuficiente precisión se manifiesta especialmente en el divisor utilizado para calcular los kilos por habitante del barrio: </w:t>
      </w:r>
      <w:r>
        <w:rPr>
          <w:rFonts w:ascii="Arial" w:eastAsia="MS Mincho" w:hAnsi="Arial" w:cs="Arial"/>
          <w:kern w:val="0"/>
          <w:sz w:val="20"/>
          <w:szCs w:val="20"/>
          <w14:ligatures w14:val="none"/>
        </w:rPr>
        <w:t xml:space="preserve">como se mencionaba, </w:t>
      </w:r>
      <w:r w:rsidRPr="00534E7C">
        <w:rPr>
          <w:rFonts w:ascii="Arial" w:eastAsia="MS Mincho" w:hAnsi="Arial" w:cs="Arial"/>
          <w:kern w:val="0"/>
          <w:sz w:val="20"/>
          <w:szCs w:val="20"/>
          <w14:ligatures w14:val="none"/>
        </w:rPr>
        <w:t>la resolución de 27 de marzo de 2026 utiliza los empadronados a 1 de marzo, mientras que la información municipal sobre el cálculo de la cuota señala el 1 de enero. La ordenanza fija esta última fecha para los residentes de cada vivienda, pero no concreta expresamente la del padrón del barrio.</w:t>
      </w:r>
    </w:p>
    <w:p w14:paraId="47488306" w14:textId="45388BD3" w:rsidR="002660E2" w:rsidRPr="001E1FE8" w:rsidRDefault="002660E2" w:rsidP="002660E2">
      <w:pPr>
        <w:spacing w:after="140"/>
        <w:jc w:val="both"/>
        <w:rPr>
          <w:rFonts w:ascii="Arial" w:eastAsia="MS Mincho" w:hAnsi="Arial" w:cs="Arial"/>
          <w:kern w:val="0"/>
          <w:sz w:val="20"/>
          <w:szCs w:val="20"/>
          <w14:ligatures w14:val="none"/>
        </w:rPr>
      </w:pPr>
      <w:r w:rsidRPr="001E1FE8">
        <w:rPr>
          <w:rFonts w:ascii="Arial" w:eastAsia="MS Mincho" w:hAnsi="Arial" w:cs="Arial"/>
          <w:kern w:val="0"/>
          <w:sz w:val="20"/>
          <w:szCs w:val="20"/>
          <w14:ligatures w14:val="none"/>
        </w:rPr>
        <w:t xml:space="preserve">Además, la falta de precisión no afecta únicamente al divisor utilizado para calcular los kilos por habitante, sino también a la propia determinación de los residuos residenciales atribuidos a cada barrio. </w:t>
      </w:r>
    </w:p>
    <w:p w14:paraId="43D750F3" w14:textId="77777777" w:rsidR="002660E2" w:rsidRPr="001E1FE8" w:rsidRDefault="002660E2" w:rsidP="002660E2">
      <w:pPr>
        <w:spacing w:after="140"/>
        <w:jc w:val="both"/>
        <w:rPr>
          <w:rFonts w:ascii="Arial" w:eastAsia="MS Mincho" w:hAnsi="Arial" w:cs="Arial"/>
          <w:kern w:val="0"/>
          <w:sz w:val="20"/>
          <w:szCs w:val="20"/>
          <w14:ligatures w14:val="none"/>
        </w:rPr>
      </w:pPr>
      <w:r w:rsidRPr="001E1FE8">
        <w:rPr>
          <w:rFonts w:ascii="Arial" w:eastAsia="MS Mincho" w:hAnsi="Arial" w:cs="Arial"/>
          <w:kern w:val="0"/>
          <w:sz w:val="20"/>
          <w:szCs w:val="20"/>
          <w14:ligatures w14:val="none"/>
        </w:rPr>
        <w:t xml:space="preserve">Esta posible incorrección no resulta neutra para el contribuyente, ya que repercute directamente en los kilogramos de residuos residenciales imputados a cada barrio y, por tanto, en el tramo de generación aplicado a las viviendas. De este modo, </w:t>
      </w:r>
      <w:r w:rsidRPr="006B4A5D">
        <w:rPr>
          <w:rFonts w:ascii="Arial" w:eastAsia="MS Mincho" w:hAnsi="Arial" w:cs="Arial"/>
          <w:b/>
          <w:bCs/>
          <w:kern w:val="0"/>
          <w:sz w:val="20"/>
          <w:szCs w:val="20"/>
          <w14:ligatures w14:val="none"/>
        </w:rPr>
        <w:t>pueden producirse diferencias en la cuota entre vecinos de distintos barrios derivadas de factores ajenos a su propia generación de residuos</w:t>
      </w:r>
      <w:r w:rsidRPr="001E1FE8">
        <w:rPr>
          <w:rFonts w:ascii="Arial" w:eastAsia="MS Mincho" w:hAnsi="Arial" w:cs="Arial"/>
          <w:kern w:val="0"/>
          <w:sz w:val="20"/>
          <w:szCs w:val="20"/>
          <w14:ligatures w14:val="none"/>
        </w:rPr>
        <w:t>, como la diferente presencia de actividad económica o usos no residenciales, sin que el informe justifique suficientemente por qué esas circunstancias deben traducirse en una mayor carga para unos contribuyentes que para otros.</w:t>
      </w:r>
    </w:p>
    <w:p w14:paraId="78305B13" w14:textId="11D43F37" w:rsidR="00534E7C" w:rsidRPr="00534E7C" w:rsidRDefault="00534E7C" w:rsidP="00534E7C">
      <w:pPr>
        <w:spacing w:after="140"/>
        <w:jc w:val="both"/>
        <w:rPr>
          <w:rFonts w:ascii="Arial" w:eastAsia="MS Mincho" w:hAnsi="Arial" w:cs="Arial"/>
          <w:kern w:val="0"/>
          <w:sz w:val="20"/>
          <w:szCs w:val="20"/>
          <w14:ligatures w14:val="none"/>
        </w:rPr>
      </w:pPr>
      <w:r w:rsidRPr="00534E7C">
        <w:rPr>
          <w:rFonts w:ascii="Arial" w:eastAsia="MS Mincho" w:hAnsi="Arial" w:cs="Arial"/>
          <w:kern w:val="0"/>
          <w:sz w:val="20"/>
          <w:szCs w:val="20"/>
          <w14:ligatures w14:val="none"/>
        </w:rPr>
        <w:t xml:space="preserve">Por todo ello, </w:t>
      </w:r>
      <w:r w:rsidRPr="006B4A5D">
        <w:rPr>
          <w:rFonts w:ascii="Arial" w:eastAsia="MS Mincho" w:hAnsi="Arial" w:cs="Arial"/>
          <w:b/>
          <w:bCs/>
          <w:kern w:val="0"/>
          <w:sz w:val="20"/>
          <w:szCs w:val="20"/>
          <w14:ligatures w14:val="none"/>
        </w:rPr>
        <w:t>se impugna la falta de justificación de los parámetros aplicados al recibo</w:t>
      </w:r>
      <w:r w:rsidRPr="00534E7C">
        <w:rPr>
          <w:rFonts w:ascii="Arial" w:eastAsia="MS Mincho" w:hAnsi="Arial" w:cs="Arial"/>
          <w:kern w:val="0"/>
          <w:sz w:val="20"/>
          <w:szCs w:val="20"/>
          <w14:ligatures w14:val="none"/>
        </w:rPr>
        <w:t>, cuya comprobación resulta necesaria para verificar el tramo de generación y el coeficiente de separación utilizados</w:t>
      </w:r>
      <w:r>
        <w:rPr>
          <w:rFonts w:ascii="Arial" w:eastAsia="MS Mincho" w:hAnsi="Arial" w:cs="Arial"/>
          <w:kern w:val="0"/>
          <w:sz w:val="20"/>
          <w:szCs w:val="20"/>
          <w14:ligatures w14:val="none"/>
        </w:rPr>
        <w:t xml:space="preserve"> y se </w:t>
      </w:r>
      <w:r w:rsidRPr="00534E7C">
        <w:rPr>
          <w:rFonts w:ascii="Arial" w:eastAsia="MS Mincho" w:hAnsi="Arial" w:cs="Arial"/>
          <w:kern w:val="0"/>
          <w:sz w:val="20"/>
          <w:szCs w:val="20"/>
          <w14:ligatures w14:val="none"/>
        </w:rPr>
        <w:t>solicita su anulación</w:t>
      </w:r>
      <w:r>
        <w:rPr>
          <w:rFonts w:ascii="Arial" w:eastAsia="MS Mincho" w:hAnsi="Arial" w:cs="Arial"/>
          <w:kern w:val="0"/>
          <w:sz w:val="20"/>
          <w:szCs w:val="20"/>
          <w14:ligatures w14:val="none"/>
        </w:rPr>
        <w:t xml:space="preserve">. </w:t>
      </w:r>
      <w:r w:rsidRPr="00534E7C">
        <w:rPr>
          <w:rFonts w:ascii="Arial" w:eastAsia="MS Mincho" w:hAnsi="Arial" w:cs="Arial"/>
          <w:kern w:val="0"/>
          <w:sz w:val="20"/>
          <w:szCs w:val="20"/>
          <w14:ligatures w14:val="none"/>
        </w:rPr>
        <w:t xml:space="preserve"> </w:t>
      </w:r>
    </w:p>
    <w:p w14:paraId="6BC340F4" w14:textId="589E3768" w:rsidR="00151424" w:rsidRDefault="00151424" w:rsidP="007B3481">
      <w:pPr>
        <w:spacing w:after="140"/>
        <w:jc w:val="both"/>
        <w:rPr>
          <w:rFonts w:ascii="Arial" w:eastAsia="MS Mincho" w:hAnsi="Arial" w:cs="Arial"/>
          <w:kern w:val="0"/>
          <w:sz w:val="20"/>
          <w:szCs w:val="20"/>
          <w14:ligatures w14:val="none"/>
        </w:rPr>
      </w:pPr>
    </w:p>
    <w:p w14:paraId="7451DE30" w14:textId="6EBB7555" w:rsidR="00693AB2" w:rsidRPr="00693AB2" w:rsidRDefault="00B96A39" w:rsidP="00693AB2">
      <w:pPr>
        <w:spacing w:after="140"/>
        <w:jc w:val="both"/>
        <w:rPr>
          <w:rFonts w:ascii="Arial" w:eastAsia="MS Mincho" w:hAnsi="Arial" w:cs="Arial"/>
          <w:b/>
          <w:bCs/>
          <w:kern w:val="0"/>
          <w:sz w:val="20"/>
          <w:szCs w:val="20"/>
          <w14:ligatures w14:val="none"/>
        </w:rPr>
      </w:pPr>
      <w:r w:rsidRPr="00693AB2">
        <w:rPr>
          <w:rFonts w:ascii="Arial" w:eastAsia="MS Mincho" w:hAnsi="Arial" w:cs="Arial"/>
          <w:b/>
          <w:bCs/>
          <w:kern w:val="0"/>
          <w:sz w:val="20"/>
          <w:szCs w:val="20"/>
          <w14:ligatures w14:val="none"/>
        </w:rPr>
        <w:t>QUINTA</w:t>
      </w:r>
      <w:r w:rsidR="00693AB2" w:rsidRPr="00693AB2">
        <w:rPr>
          <w:rFonts w:ascii="Arial" w:eastAsia="MS Mincho" w:hAnsi="Arial" w:cs="Arial"/>
          <w:b/>
          <w:bCs/>
          <w:kern w:val="0"/>
          <w:sz w:val="20"/>
          <w:szCs w:val="20"/>
          <w14:ligatures w14:val="none"/>
        </w:rPr>
        <w:t>.- Imputación de los costes de muebles y enseres</w:t>
      </w:r>
    </w:p>
    <w:p w14:paraId="39768B19" w14:textId="6147468B" w:rsidR="00FD4170" w:rsidRPr="00FD4170" w:rsidRDefault="00FD4170" w:rsidP="00FD4170">
      <w:pPr>
        <w:spacing w:after="140"/>
        <w:jc w:val="both"/>
        <w:rPr>
          <w:rFonts w:ascii="Arial" w:eastAsia="MS Mincho" w:hAnsi="Arial" w:cs="Arial"/>
          <w:kern w:val="0"/>
          <w:sz w:val="20"/>
          <w:szCs w:val="20"/>
          <w14:ligatures w14:val="none"/>
        </w:rPr>
      </w:pPr>
      <w:r w:rsidRPr="00FD4170">
        <w:rPr>
          <w:rFonts w:ascii="Arial" w:eastAsia="MS Mincho" w:hAnsi="Arial" w:cs="Arial"/>
          <w:kern w:val="0"/>
          <w:sz w:val="20"/>
          <w:szCs w:val="20"/>
          <w14:ligatures w14:val="none"/>
        </w:rPr>
        <w:lastRenderedPageBreak/>
        <w:t>El apartado 5.5 del informe técnico-económico, páginas 54 y 55, imputa a la recogida y transporte de muebles y enseres un coste de 19.833.836,16 euros. Según la tabla 88, este importe representa el 6,08 %, de los 326.174.203,13 euros de obligaciones reconocidas en 2024 del subconcepto presupuestario 227.00 «Limpieza y Aseo», dentro del programa 163.01 «Limpieza Viaria».</w:t>
      </w:r>
    </w:p>
    <w:p w14:paraId="5BD75A6B" w14:textId="3E87E9C3" w:rsidR="00FD4170" w:rsidRPr="00693AB2" w:rsidRDefault="00FD4170" w:rsidP="00FD4170">
      <w:pPr>
        <w:spacing w:after="140"/>
        <w:jc w:val="both"/>
        <w:rPr>
          <w:rFonts w:ascii="Arial" w:eastAsia="MS Mincho" w:hAnsi="Arial" w:cs="Arial"/>
          <w:kern w:val="0"/>
          <w:sz w:val="20"/>
          <w:szCs w:val="20"/>
          <w14:ligatures w14:val="none"/>
        </w:rPr>
      </w:pPr>
      <w:r w:rsidRPr="00FD4170">
        <w:rPr>
          <w:rFonts w:ascii="Arial" w:eastAsia="MS Mincho" w:hAnsi="Arial" w:cs="Arial"/>
          <w:kern w:val="0"/>
          <w:sz w:val="20"/>
          <w:szCs w:val="20"/>
          <w14:ligatures w14:val="none"/>
        </w:rPr>
        <w:t>La tabla 89 explica cómo se obtiene el importe imputado: aplica un coeficiente del 28,4416 %, basado en la proporción de toneladas de muebles y enseres respecto de otros residuos recogidos, a una estimación de costes de 69.735.303,79 euros, desglosada en personal, maquinaria, instalaciones, vestuario y otros gastos. El resultado de esta operación es 19.833.836,16 euros. Por tanto, el 6,08 % expresa el peso del importe resultante sobre el gasto presupuestario total, mientras que el 28,4416 % es el coeficiente empleado para distribuir los costes estimados.</w:t>
      </w:r>
    </w:p>
    <w:p w14:paraId="47066A30" w14:textId="77777777" w:rsidR="00693AB2" w:rsidRPr="00693AB2" w:rsidRDefault="00693AB2" w:rsidP="00693AB2">
      <w:pPr>
        <w:spacing w:after="140"/>
        <w:jc w:val="both"/>
        <w:rPr>
          <w:rFonts w:ascii="Arial" w:eastAsia="MS Mincho" w:hAnsi="Arial" w:cs="Arial"/>
          <w:kern w:val="0"/>
          <w:sz w:val="20"/>
          <w:szCs w:val="20"/>
          <w14:ligatures w14:val="none"/>
        </w:rPr>
      </w:pPr>
      <w:r w:rsidRPr="00693AB2">
        <w:rPr>
          <w:rFonts w:ascii="Arial" w:eastAsia="MS Mincho" w:hAnsi="Arial" w:cs="Arial"/>
          <w:kern w:val="0"/>
          <w:sz w:val="20"/>
          <w:szCs w:val="20"/>
          <w14:ligatures w14:val="none"/>
        </w:rPr>
        <w:t>El propio informe reconoce que los precios adjudicados son globales y fijos al año, independientes del volumen de las prestaciones realizadas. Pese a ello, distribuye los distintos componentes del coste mediante un único indicador de peso, sin justificar suficientemente que la proporción de toneladas refleje la utilización de personal, vehículos, instalaciones y restantes recursos por el servicio de recogida de muebles y enseres.</w:t>
      </w:r>
    </w:p>
    <w:p w14:paraId="5C247D3E" w14:textId="77777777" w:rsidR="00693AB2" w:rsidRPr="00693AB2" w:rsidRDefault="00693AB2" w:rsidP="00693AB2">
      <w:pPr>
        <w:spacing w:after="140"/>
        <w:jc w:val="both"/>
        <w:rPr>
          <w:rFonts w:ascii="Arial" w:eastAsia="MS Mincho" w:hAnsi="Arial" w:cs="Arial"/>
          <w:kern w:val="0"/>
          <w:sz w:val="20"/>
          <w:szCs w:val="20"/>
          <w14:ligatures w14:val="none"/>
        </w:rPr>
      </w:pPr>
      <w:r w:rsidRPr="00693AB2">
        <w:rPr>
          <w:rFonts w:ascii="Arial" w:eastAsia="MS Mincho" w:hAnsi="Arial" w:cs="Arial"/>
          <w:kern w:val="0"/>
          <w:sz w:val="20"/>
          <w:szCs w:val="20"/>
          <w14:ligatures w14:val="none"/>
        </w:rPr>
        <w:t>Esta correspondencia resulta especialmente relevante porque el informe agrupa modalidades diferentes de recogida: a solicitud del ciudadano, mediante campañas programadas y por retirada de muebles abandonados en la vía pública. El coste de estas operaciones puede depender del número de actuaciones, del tiempo de trabajo, de los desplazamientos y de los medios necesarios, sin mantener necesariamente una relación proporcional con el peso recogido.</w:t>
      </w:r>
    </w:p>
    <w:p w14:paraId="7EE58A23" w14:textId="62A3F27F" w:rsidR="00693AB2" w:rsidRPr="00884974" w:rsidRDefault="00693AB2" w:rsidP="00693AB2">
      <w:pPr>
        <w:spacing w:after="140"/>
        <w:jc w:val="both"/>
        <w:rPr>
          <w:rFonts w:ascii="Arial" w:eastAsia="MS Mincho" w:hAnsi="Arial" w:cs="Arial"/>
          <w:kern w:val="0"/>
          <w:sz w:val="20"/>
          <w:szCs w:val="20"/>
          <w14:ligatures w14:val="none"/>
        </w:rPr>
      </w:pPr>
      <w:r w:rsidRPr="00FD4170">
        <w:rPr>
          <w:rFonts w:ascii="Arial" w:eastAsia="MS Mincho" w:hAnsi="Arial" w:cs="Arial"/>
          <w:b/>
          <w:bCs/>
          <w:kern w:val="0"/>
          <w:sz w:val="20"/>
          <w:szCs w:val="20"/>
          <w14:ligatures w14:val="none"/>
        </w:rPr>
        <w:t>Se impugna que el porcentaje de toneladas se aplique uniformemente a partidas de distinta naturaleza</w:t>
      </w:r>
      <w:r w:rsidRPr="00884974">
        <w:rPr>
          <w:rFonts w:ascii="Arial" w:eastAsia="MS Mincho" w:hAnsi="Arial" w:cs="Arial"/>
          <w:kern w:val="0"/>
          <w:sz w:val="20"/>
          <w:szCs w:val="20"/>
          <w14:ligatures w14:val="none"/>
        </w:rPr>
        <w:t xml:space="preserve"> sin una justificación suficiente de su relación con el consumo de recursos que determina el coste del servicio gravado.</w:t>
      </w:r>
    </w:p>
    <w:p w14:paraId="46F16005" w14:textId="4E89B9FE" w:rsidR="00693AB2" w:rsidRPr="00693AB2" w:rsidRDefault="00693AB2" w:rsidP="00693AB2">
      <w:pPr>
        <w:spacing w:after="140"/>
        <w:jc w:val="both"/>
        <w:rPr>
          <w:rFonts w:ascii="Arial" w:eastAsia="MS Mincho" w:hAnsi="Arial" w:cs="Arial"/>
          <w:kern w:val="0"/>
          <w:sz w:val="20"/>
          <w:szCs w:val="20"/>
          <w14:ligatures w14:val="none"/>
        </w:rPr>
      </w:pPr>
      <w:r w:rsidRPr="00693AB2">
        <w:rPr>
          <w:rFonts w:ascii="Arial" w:eastAsia="MS Mincho" w:hAnsi="Arial" w:cs="Arial"/>
          <w:kern w:val="0"/>
          <w:sz w:val="20"/>
          <w:szCs w:val="20"/>
          <w14:ligatures w14:val="none"/>
        </w:rPr>
        <w:t xml:space="preserve">Los artículos 24.2 y 25 </w:t>
      </w:r>
      <w:r w:rsidR="00884974">
        <w:rPr>
          <w:rFonts w:ascii="Arial" w:eastAsia="MS Mincho" w:hAnsi="Arial" w:cs="Arial"/>
          <w:kern w:val="0"/>
          <w:sz w:val="20"/>
          <w:szCs w:val="20"/>
          <w14:ligatures w14:val="none"/>
        </w:rPr>
        <w:t xml:space="preserve">de la TRLRHL </w:t>
      </w:r>
      <w:r w:rsidRPr="00693AB2">
        <w:rPr>
          <w:rFonts w:ascii="Arial" w:eastAsia="MS Mincho" w:hAnsi="Arial" w:cs="Arial"/>
          <w:kern w:val="0"/>
          <w:sz w:val="20"/>
          <w:szCs w:val="20"/>
          <w14:ligatures w14:val="none"/>
        </w:rPr>
        <w:t xml:space="preserve">exigen que la cuantificación de la tasa se sustente en el coste real o previsible del servicio y en un informe técnico-económico que lo justifique. Asimismo, el artículo 11.3 de la Ley </w:t>
      </w:r>
      <w:r w:rsidR="00884974">
        <w:rPr>
          <w:rFonts w:ascii="Arial" w:eastAsia="MS Mincho" w:hAnsi="Arial" w:cs="Arial"/>
          <w:kern w:val="0"/>
          <w:sz w:val="20"/>
          <w:szCs w:val="20"/>
          <w14:ligatures w14:val="none"/>
        </w:rPr>
        <w:t>de residuos</w:t>
      </w:r>
      <w:r w:rsidRPr="00693AB2">
        <w:rPr>
          <w:rFonts w:ascii="Arial" w:eastAsia="MS Mincho" w:hAnsi="Arial" w:cs="Arial"/>
          <w:kern w:val="0"/>
          <w:sz w:val="20"/>
          <w:szCs w:val="20"/>
          <w14:ligatures w14:val="none"/>
        </w:rPr>
        <w:t xml:space="preserve"> exige reflejar el coste real, directo o indirecto, de la gestión de residuos. La mera identificación de un porcentaje de tonelaje no acredita, por sí sola, que el importe resultante corresponda al coste atribuible a la prestación objeto de la tasa.</w:t>
      </w:r>
    </w:p>
    <w:p w14:paraId="34FD6AAC" w14:textId="7B5213AC" w:rsidR="00693AB2" w:rsidRPr="00693AB2" w:rsidRDefault="00693AB2" w:rsidP="00693AB2">
      <w:pPr>
        <w:spacing w:after="140"/>
        <w:jc w:val="both"/>
        <w:rPr>
          <w:rFonts w:ascii="Arial" w:eastAsia="MS Mincho" w:hAnsi="Arial" w:cs="Arial"/>
          <w:kern w:val="0"/>
          <w:sz w:val="20"/>
          <w:szCs w:val="20"/>
          <w14:ligatures w14:val="none"/>
        </w:rPr>
      </w:pPr>
      <w:r w:rsidRPr="00693AB2">
        <w:rPr>
          <w:rFonts w:ascii="Arial" w:eastAsia="MS Mincho" w:hAnsi="Arial" w:cs="Arial"/>
          <w:kern w:val="0"/>
          <w:sz w:val="20"/>
          <w:szCs w:val="20"/>
          <w14:ligatures w14:val="none"/>
        </w:rPr>
        <w:t xml:space="preserve">Además, al proceder la imputación de un contrato que comprende limpieza viaria y recogida de residuos, resulta necesaria una delimitación económica suficientemente fundada entre ambas prestaciones, dado que el artículo 21.1.e) del TRLRHL impide exigir tasas por la limpieza de la vía pública. </w:t>
      </w:r>
    </w:p>
    <w:p w14:paraId="78F20D91" w14:textId="31644ABE" w:rsidR="00693AB2" w:rsidRDefault="00693AB2" w:rsidP="00693AB2">
      <w:pPr>
        <w:spacing w:after="140"/>
        <w:jc w:val="both"/>
        <w:rPr>
          <w:rFonts w:ascii="Arial" w:eastAsia="MS Mincho" w:hAnsi="Arial" w:cs="Arial"/>
          <w:kern w:val="0"/>
          <w:sz w:val="20"/>
          <w:szCs w:val="20"/>
          <w14:ligatures w14:val="none"/>
        </w:rPr>
      </w:pPr>
      <w:r w:rsidRPr="00693AB2">
        <w:rPr>
          <w:rFonts w:ascii="Arial" w:eastAsia="MS Mincho" w:hAnsi="Arial" w:cs="Arial"/>
          <w:kern w:val="0"/>
          <w:sz w:val="20"/>
          <w:szCs w:val="20"/>
          <w14:ligatures w14:val="none"/>
        </w:rPr>
        <w:t xml:space="preserve">Por tanto, </w:t>
      </w:r>
      <w:r w:rsidRPr="00B96A39">
        <w:rPr>
          <w:rFonts w:ascii="Arial" w:eastAsia="MS Mincho" w:hAnsi="Arial" w:cs="Arial"/>
          <w:b/>
          <w:bCs/>
          <w:kern w:val="0"/>
          <w:sz w:val="20"/>
          <w:szCs w:val="20"/>
          <w14:ligatures w14:val="none"/>
        </w:rPr>
        <w:t xml:space="preserve">se </w:t>
      </w:r>
      <w:r w:rsidR="00884974" w:rsidRPr="00B96A39">
        <w:rPr>
          <w:rFonts w:ascii="Arial" w:eastAsia="MS Mincho" w:hAnsi="Arial" w:cs="Arial"/>
          <w:b/>
          <w:bCs/>
          <w:kern w:val="0"/>
          <w:sz w:val="20"/>
          <w:szCs w:val="20"/>
          <w14:ligatures w14:val="none"/>
        </w:rPr>
        <w:t xml:space="preserve">comprueba la </w:t>
      </w:r>
      <w:r w:rsidRPr="00B96A39">
        <w:rPr>
          <w:rFonts w:ascii="Arial" w:eastAsia="MS Mincho" w:hAnsi="Arial" w:cs="Arial"/>
          <w:b/>
          <w:bCs/>
          <w:kern w:val="0"/>
          <w:sz w:val="20"/>
          <w:szCs w:val="20"/>
          <w14:ligatures w14:val="none"/>
        </w:rPr>
        <w:t>insuficiente justificación del coeficiente del 28,4416 % y de su aplicación a las partidas de la tabla 89 como defecto de la determinación del coste que sirve de base a las tarifas</w:t>
      </w:r>
      <w:r w:rsidRPr="00693AB2">
        <w:rPr>
          <w:rFonts w:ascii="Arial" w:eastAsia="MS Mincho" w:hAnsi="Arial" w:cs="Arial"/>
          <w:kern w:val="0"/>
          <w:sz w:val="20"/>
          <w:szCs w:val="20"/>
          <w14:ligatures w14:val="none"/>
        </w:rPr>
        <w:t xml:space="preserve">. </w:t>
      </w:r>
      <w:r w:rsidR="00884974">
        <w:rPr>
          <w:rFonts w:ascii="Arial" w:eastAsia="MS Mincho" w:hAnsi="Arial" w:cs="Arial"/>
          <w:kern w:val="0"/>
          <w:sz w:val="20"/>
          <w:szCs w:val="20"/>
          <w14:ligatures w14:val="none"/>
        </w:rPr>
        <w:t xml:space="preserve">Se cuestiona la base económica del reparto y la falta de justificación para exigir la cuota, por lo que </w:t>
      </w:r>
      <w:r w:rsidR="00884974" w:rsidRPr="00B96A39">
        <w:rPr>
          <w:rFonts w:ascii="Arial" w:eastAsia="MS Mincho" w:hAnsi="Arial" w:cs="Arial"/>
          <w:b/>
          <w:bCs/>
          <w:kern w:val="0"/>
          <w:sz w:val="20"/>
          <w:szCs w:val="20"/>
          <w14:ligatures w14:val="none"/>
        </w:rPr>
        <w:t>s</w:t>
      </w:r>
      <w:r w:rsidRPr="00B96A39">
        <w:rPr>
          <w:rFonts w:ascii="Arial" w:eastAsia="MS Mincho" w:hAnsi="Arial" w:cs="Arial"/>
          <w:b/>
          <w:bCs/>
          <w:kern w:val="0"/>
          <w:sz w:val="20"/>
          <w:szCs w:val="20"/>
          <w14:ligatures w14:val="none"/>
        </w:rPr>
        <w:t xml:space="preserve">e solicita </w:t>
      </w:r>
      <w:r w:rsidR="00884974" w:rsidRPr="00B96A39">
        <w:rPr>
          <w:rFonts w:ascii="Arial" w:eastAsia="MS Mincho" w:hAnsi="Arial" w:cs="Arial"/>
          <w:b/>
          <w:bCs/>
          <w:kern w:val="0"/>
          <w:sz w:val="20"/>
          <w:szCs w:val="20"/>
          <w14:ligatures w14:val="none"/>
        </w:rPr>
        <w:t>la anulación del recibo</w:t>
      </w:r>
      <w:r w:rsidR="00884974">
        <w:rPr>
          <w:rFonts w:ascii="Arial" w:eastAsia="MS Mincho" w:hAnsi="Arial" w:cs="Arial"/>
          <w:kern w:val="0"/>
          <w:sz w:val="20"/>
          <w:szCs w:val="20"/>
          <w14:ligatures w14:val="none"/>
        </w:rPr>
        <w:t xml:space="preserve">, </w:t>
      </w:r>
      <w:r w:rsidRPr="00693AB2">
        <w:rPr>
          <w:rFonts w:ascii="Arial" w:eastAsia="MS Mincho" w:hAnsi="Arial" w:cs="Arial"/>
          <w:kern w:val="0"/>
          <w:sz w:val="20"/>
          <w:szCs w:val="20"/>
          <w14:ligatures w14:val="none"/>
        </w:rPr>
        <w:t>conjuntamente con los restantes motivos de la reclamación</w:t>
      </w:r>
      <w:r w:rsidR="00884974">
        <w:rPr>
          <w:rFonts w:ascii="Arial" w:eastAsia="MS Mincho" w:hAnsi="Arial" w:cs="Arial"/>
          <w:kern w:val="0"/>
          <w:sz w:val="20"/>
          <w:szCs w:val="20"/>
          <w14:ligatures w14:val="none"/>
        </w:rPr>
        <w:t>.</w:t>
      </w:r>
    </w:p>
    <w:p w14:paraId="70AC5B25" w14:textId="77777777" w:rsidR="00884974" w:rsidRPr="00693AB2" w:rsidRDefault="00884974" w:rsidP="00693AB2">
      <w:pPr>
        <w:spacing w:after="140"/>
        <w:jc w:val="both"/>
        <w:rPr>
          <w:rFonts w:ascii="Arial" w:eastAsia="MS Mincho" w:hAnsi="Arial" w:cs="Arial"/>
          <w:kern w:val="0"/>
          <w:sz w:val="20"/>
          <w:szCs w:val="20"/>
          <w14:ligatures w14:val="none"/>
        </w:rPr>
      </w:pPr>
    </w:p>
    <w:p w14:paraId="4905370B" w14:textId="7BCD4EDD" w:rsidR="007B3481" w:rsidRPr="00693AB2" w:rsidRDefault="00B96A39" w:rsidP="007B3481">
      <w:pPr>
        <w:spacing w:after="140"/>
        <w:jc w:val="both"/>
        <w:rPr>
          <w:rFonts w:ascii="Arial" w:eastAsia="MS Mincho" w:hAnsi="Arial" w:cs="Arial"/>
          <w:b/>
          <w:bCs/>
          <w:kern w:val="0"/>
          <w:sz w:val="20"/>
          <w:szCs w:val="20"/>
          <w14:ligatures w14:val="none"/>
        </w:rPr>
      </w:pPr>
      <w:r>
        <w:rPr>
          <w:rFonts w:ascii="Arial" w:eastAsia="MS Mincho" w:hAnsi="Arial" w:cs="Arial"/>
          <w:b/>
          <w:bCs/>
          <w:kern w:val="0"/>
          <w:sz w:val="20"/>
          <w:szCs w:val="20"/>
          <w14:ligatures w14:val="none"/>
        </w:rPr>
        <w:t>SEXTA</w:t>
      </w:r>
      <w:r w:rsidR="007B3481" w:rsidRPr="00693AB2">
        <w:rPr>
          <w:rFonts w:ascii="Arial" w:eastAsia="MS Mincho" w:hAnsi="Arial" w:cs="Arial"/>
          <w:b/>
          <w:bCs/>
          <w:kern w:val="0"/>
          <w:sz w:val="20"/>
          <w:szCs w:val="20"/>
          <w14:ligatures w14:val="none"/>
        </w:rPr>
        <w:t xml:space="preserve">. Competencia del TEAMM y objeto de la reclamación. </w:t>
      </w:r>
    </w:p>
    <w:p w14:paraId="681D8180" w14:textId="77777777" w:rsidR="007B3481" w:rsidRPr="00693AB2" w:rsidRDefault="007B3481" w:rsidP="007B3481">
      <w:pPr>
        <w:spacing w:after="140"/>
        <w:jc w:val="both"/>
        <w:rPr>
          <w:rFonts w:ascii="Arial" w:eastAsia="MS Mincho" w:hAnsi="Arial" w:cs="Arial"/>
          <w:kern w:val="0"/>
          <w:sz w:val="20"/>
          <w:szCs w:val="20"/>
          <w14:ligatures w14:val="none"/>
        </w:rPr>
      </w:pPr>
      <w:r w:rsidRPr="00693AB2">
        <w:rPr>
          <w:rFonts w:ascii="Arial" w:eastAsia="MS Mincho" w:hAnsi="Arial" w:cs="Arial"/>
          <w:kern w:val="0"/>
          <w:sz w:val="20"/>
          <w:szCs w:val="20"/>
          <w14:ligatures w14:val="none"/>
        </w:rPr>
        <w:t xml:space="preserve">El Tribunal es competente para revisar el acto tributario individual conforme al artículo 25 de la Ley 22/2006, de Capitalidad y Régimen Especial de Madrid, y a su Reglamento Orgánico de 20 de diciembre de 2007. Estoy legitimado como destinatario del recibo. Los motivos expuestos cuestionan la legalidad de los parámetros que sustentan esta cuota, y </w:t>
      </w:r>
      <w:r w:rsidRPr="00693AB2">
        <w:rPr>
          <w:rFonts w:ascii="Arial" w:eastAsia="MS Mincho" w:hAnsi="Arial" w:cs="Arial"/>
          <w:b/>
          <w:bCs/>
          <w:kern w:val="0"/>
          <w:sz w:val="20"/>
          <w:szCs w:val="20"/>
          <w14:ligatures w14:val="none"/>
        </w:rPr>
        <w:t>se solicita su anulación</w:t>
      </w:r>
      <w:r w:rsidRPr="00693AB2">
        <w:rPr>
          <w:rFonts w:ascii="Arial" w:eastAsia="MS Mincho" w:hAnsi="Arial" w:cs="Arial"/>
          <w:kern w:val="0"/>
          <w:sz w:val="20"/>
          <w:szCs w:val="20"/>
          <w14:ligatures w14:val="none"/>
        </w:rPr>
        <w:t xml:space="preserve">. </w:t>
      </w:r>
    </w:p>
    <w:p w14:paraId="22AE236D" w14:textId="77777777" w:rsidR="00622DBF" w:rsidRDefault="00622DBF" w:rsidP="007B3481">
      <w:pPr>
        <w:spacing w:after="140"/>
        <w:jc w:val="both"/>
        <w:rPr>
          <w:rFonts w:ascii="Arial" w:eastAsia="MS Mincho" w:hAnsi="Arial" w:cs="Arial"/>
          <w:kern w:val="0"/>
          <w:sz w:val="20"/>
          <w:szCs w:val="20"/>
          <w14:ligatures w14:val="none"/>
        </w:rPr>
      </w:pPr>
    </w:p>
    <w:p w14:paraId="2F1D2110" w14:textId="413D35A3" w:rsidR="00622DBF" w:rsidRPr="00622DBF" w:rsidRDefault="00622DBF" w:rsidP="007B3481">
      <w:pPr>
        <w:spacing w:after="140"/>
        <w:jc w:val="both"/>
        <w:rPr>
          <w:rFonts w:ascii="Arial" w:eastAsia="MS Mincho" w:hAnsi="Arial" w:cs="Arial"/>
          <w:b/>
          <w:bCs/>
          <w:kern w:val="0"/>
          <w:sz w:val="20"/>
          <w:szCs w:val="20"/>
          <w14:ligatures w14:val="none"/>
        </w:rPr>
      </w:pPr>
      <w:r w:rsidRPr="00622DBF">
        <w:rPr>
          <w:rFonts w:ascii="Arial" w:eastAsia="MS Mincho" w:hAnsi="Arial" w:cs="Arial"/>
          <w:b/>
          <w:bCs/>
          <w:kern w:val="0"/>
          <w:sz w:val="20"/>
          <w:szCs w:val="20"/>
          <w14:ligatures w14:val="none"/>
        </w:rPr>
        <w:t>SÉPTIMA. De la Inseguridad Jurídica y el derecho a la devolución</w:t>
      </w:r>
    </w:p>
    <w:p w14:paraId="109BEBA7" w14:textId="77777777" w:rsidR="00622DBF" w:rsidRPr="00622DBF" w:rsidRDefault="00622DBF" w:rsidP="00622DBF">
      <w:pPr>
        <w:spacing w:after="140"/>
        <w:jc w:val="both"/>
        <w:rPr>
          <w:rFonts w:ascii="Arial" w:eastAsia="MS Mincho" w:hAnsi="Arial" w:cs="Arial"/>
          <w:kern w:val="0"/>
          <w:sz w:val="20"/>
          <w:szCs w:val="20"/>
          <w14:ligatures w14:val="none"/>
        </w:rPr>
      </w:pPr>
      <w:r w:rsidRPr="00622DBF">
        <w:rPr>
          <w:rFonts w:ascii="Arial" w:eastAsia="MS Mincho" w:hAnsi="Arial" w:cs="Arial"/>
          <w:kern w:val="0"/>
          <w:sz w:val="20"/>
          <w:szCs w:val="20"/>
          <w14:ligatures w14:val="none"/>
        </w:rPr>
        <w:t xml:space="preserve">La anulación judicial de la ordenanza de la tasa de residuos de 2025, recurrida por el Ayuntamiento de Madrid, mantiene a los contribuyentes que la abonaron en una situación de incertidumbre sobre la devolución de las cantidades satisfechas. Esta situación se reproduce con la ordenanza de 2026, </w:t>
      </w:r>
      <w:r w:rsidRPr="00622DBF">
        <w:rPr>
          <w:rFonts w:ascii="Arial" w:eastAsia="MS Mincho" w:hAnsi="Arial" w:cs="Arial"/>
          <w:kern w:val="0"/>
          <w:sz w:val="20"/>
          <w:szCs w:val="20"/>
          <w14:ligatures w14:val="none"/>
        </w:rPr>
        <w:lastRenderedPageBreak/>
        <w:t>respecto de la que se alegan deficiencias similares a las que motivaron la anulación de la anterior, obligando nuevamente a la ciudadanía a impugnar las liquidaciones para proteger sus derechos.</w:t>
      </w:r>
    </w:p>
    <w:p w14:paraId="48AC1732" w14:textId="1D76564D" w:rsidR="00622DBF" w:rsidRPr="00622DBF" w:rsidRDefault="00622DBF" w:rsidP="00622DBF">
      <w:pPr>
        <w:spacing w:after="140"/>
        <w:jc w:val="both"/>
        <w:rPr>
          <w:rFonts w:ascii="Arial" w:eastAsia="MS Mincho" w:hAnsi="Arial" w:cs="Arial"/>
          <w:kern w:val="0"/>
          <w:sz w:val="20"/>
          <w:szCs w:val="20"/>
          <w14:ligatures w14:val="none"/>
        </w:rPr>
      </w:pPr>
      <w:r w:rsidRPr="00622DBF">
        <w:rPr>
          <w:rFonts w:ascii="Arial" w:eastAsia="MS Mincho" w:hAnsi="Arial" w:cs="Arial"/>
          <w:kern w:val="0"/>
          <w:sz w:val="20"/>
          <w:szCs w:val="20"/>
          <w14:ligatures w14:val="none"/>
        </w:rPr>
        <w:t xml:space="preserve">Por ello, dado que una eventual sentencia firme anulatoria no determina por sí sola la devolución de las liquidaciones que hayan adquirido firmeza, interpongo la presente </w:t>
      </w:r>
      <w:r w:rsidR="000129DE">
        <w:rPr>
          <w:rFonts w:ascii="Arial" w:eastAsia="MS Mincho" w:hAnsi="Arial" w:cs="Arial"/>
          <w:kern w:val="0"/>
          <w:sz w:val="20"/>
          <w:szCs w:val="20"/>
          <w14:ligatures w14:val="none"/>
        </w:rPr>
        <w:t>reclamación</w:t>
      </w:r>
      <w:r w:rsidRPr="00622DBF">
        <w:rPr>
          <w:rFonts w:ascii="Arial" w:eastAsia="MS Mincho" w:hAnsi="Arial" w:cs="Arial"/>
          <w:kern w:val="0"/>
          <w:sz w:val="20"/>
          <w:szCs w:val="20"/>
          <w14:ligatures w14:val="none"/>
        </w:rPr>
        <w:t xml:space="preserve"> para evitar que la liquidación de 2026 quede firme</w:t>
      </w:r>
      <w:r w:rsidR="000129DE">
        <w:rPr>
          <w:rFonts w:ascii="Arial" w:eastAsia="MS Mincho" w:hAnsi="Arial" w:cs="Arial"/>
          <w:kern w:val="0"/>
          <w:sz w:val="20"/>
          <w:szCs w:val="20"/>
          <w14:ligatures w14:val="none"/>
        </w:rPr>
        <w:t>,</w:t>
      </w:r>
      <w:r w:rsidRPr="00622DBF">
        <w:rPr>
          <w:rFonts w:ascii="Arial" w:eastAsia="MS Mincho" w:hAnsi="Arial" w:cs="Arial"/>
          <w:kern w:val="0"/>
          <w:sz w:val="20"/>
          <w:szCs w:val="20"/>
          <w14:ligatures w14:val="none"/>
        </w:rPr>
        <w:t xml:space="preserve"> y </w:t>
      </w:r>
      <w:r w:rsidRPr="006B4A5D">
        <w:rPr>
          <w:rFonts w:ascii="Arial" w:eastAsia="MS Mincho" w:hAnsi="Arial" w:cs="Arial"/>
          <w:b/>
          <w:bCs/>
          <w:kern w:val="0"/>
          <w:sz w:val="20"/>
          <w:szCs w:val="20"/>
          <w14:ligatures w14:val="none"/>
        </w:rPr>
        <w:t>preservar mi derecho a obtener la devolución del importe abonado</w:t>
      </w:r>
      <w:r w:rsidRPr="00622DBF">
        <w:rPr>
          <w:rFonts w:ascii="Arial" w:eastAsia="MS Mincho" w:hAnsi="Arial" w:cs="Arial"/>
          <w:kern w:val="0"/>
          <w:sz w:val="20"/>
          <w:szCs w:val="20"/>
          <w14:ligatures w14:val="none"/>
        </w:rPr>
        <w:t>, con los intereses legalmente procedentes, si finalmente se anula judicialmente la ordenanza que la ampara.</w:t>
      </w:r>
    </w:p>
    <w:p w14:paraId="7589C4CA" w14:textId="77777777" w:rsidR="00622DBF" w:rsidRDefault="00622DBF" w:rsidP="007B3481">
      <w:pPr>
        <w:spacing w:after="140"/>
        <w:jc w:val="both"/>
        <w:rPr>
          <w:rFonts w:ascii="Arial" w:eastAsia="MS Mincho" w:hAnsi="Arial" w:cs="Arial"/>
          <w:kern w:val="0"/>
          <w:sz w:val="20"/>
          <w:szCs w:val="20"/>
          <w14:ligatures w14:val="none"/>
        </w:rPr>
      </w:pPr>
    </w:p>
    <w:p w14:paraId="1D71A9DA" w14:textId="77777777" w:rsidR="00622DBF" w:rsidRDefault="00622DBF" w:rsidP="007B3481">
      <w:pPr>
        <w:spacing w:after="140"/>
        <w:jc w:val="both"/>
        <w:rPr>
          <w:rFonts w:ascii="Arial" w:eastAsia="MS Mincho" w:hAnsi="Arial" w:cs="Arial"/>
          <w:kern w:val="0"/>
          <w:sz w:val="20"/>
          <w:szCs w:val="20"/>
          <w14:ligatures w14:val="none"/>
        </w:rPr>
      </w:pPr>
    </w:p>
    <w:p w14:paraId="4EFE09E7" w14:textId="0D91D821" w:rsidR="007B3481" w:rsidRPr="00693AB2" w:rsidRDefault="007B3481" w:rsidP="007B3481">
      <w:pPr>
        <w:spacing w:after="140"/>
        <w:jc w:val="both"/>
        <w:rPr>
          <w:rFonts w:ascii="Arial" w:eastAsia="MS Mincho" w:hAnsi="Arial" w:cs="Arial"/>
          <w:kern w:val="0"/>
          <w:sz w:val="20"/>
          <w:szCs w:val="20"/>
          <w14:ligatures w14:val="none"/>
        </w:rPr>
      </w:pPr>
      <w:r w:rsidRPr="00693AB2">
        <w:rPr>
          <w:rFonts w:ascii="Arial" w:eastAsia="MS Mincho" w:hAnsi="Arial" w:cs="Arial"/>
          <w:kern w:val="0"/>
          <w:sz w:val="20"/>
          <w:szCs w:val="20"/>
          <w14:ligatures w14:val="none"/>
        </w:rPr>
        <w:t xml:space="preserve">Por todo lo expuesto, </w:t>
      </w:r>
    </w:p>
    <w:p w14:paraId="02CECD2C" w14:textId="77777777" w:rsidR="007B3481" w:rsidRPr="00693AB2" w:rsidRDefault="007B3481" w:rsidP="007B3481">
      <w:pPr>
        <w:spacing w:after="140"/>
        <w:jc w:val="center"/>
        <w:rPr>
          <w:rFonts w:ascii="Arial" w:eastAsia="MS Mincho" w:hAnsi="Arial" w:cs="Arial"/>
          <w:kern w:val="0"/>
          <w:sz w:val="20"/>
          <w:szCs w:val="20"/>
          <w14:ligatures w14:val="none"/>
        </w:rPr>
      </w:pPr>
      <w:r w:rsidRPr="00693AB2">
        <w:rPr>
          <w:rFonts w:ascii="Arial" w:eastAsia="MS Mincho" w:hAnsi="Arial" w:cs="Arial"/>
          <w:b/>
          <w:bCs/>
          <w:kern w:val="0"/>
          <w:sz w:val="20"/>
          <w:szCs w:val="20"/>
          <w14:ligatures w14:val="none"/>
        </w:rPr>
        <w:t>SOLICITO</w:t>
      </w:r>
    </w:p>
    <w:p w14:paraId="52A1B3D3" w14:textId="77777777" w:rsidR="007B3481" w:rsidRPr="00693AB2" w:rsidRDefault="007B3481" w:rsidP="007B3481">
      <w:pPr>
        <w:spacing w:after="140"/>
        <w:jc w:val="both"/>
        <w:rPr>
          <w:rFonts w:ascii="Arial" w:eastAsia="MS Mincho" w:hAnsi="Arial" w:cs="Arial"/>
          <w:kern w:val="0"/>
          <w:sz w:val="20"/>
          <w:szCs w:val="20"/>
          <w14:ligatures w14:val="none"/>
        </w:rPr>
      </w:pPr>
      <w:r w:rsidRPr="00693AB2">
        <w:rPr>
          <w:rFonts w:ascii="Arial" w:eastAsia="MS Mincho" w:hAnsi="Arial" w:cs="Arial"/>
          <w:kern w:val="0"/>
          <w:sz w:val="20"/>
          <w:szCs w:val="20"/>
          <w14:ligatures w14:val="none"/>
        </w:rPr>
        <w:t xml:space="preserve">1.- Que admita esta reclamación con sus alegaciones y documentos, la estime y anule el recibo identificado al comienzo, dejando sin efecto la deuda. </w:t>
      </w:r>
    </w:p>
    <w:p w14:paraId="207C9141" w14:textId="77777777" w:rsidR="007B3481" w:rsidRPr="00693AB2" w:rsidRDefault="007B3481" w:rsidP="007B3481">
      <w:pPr>
        <w:spacing w:after="140"/>
        <w:jc w:val="both"/>
        <w:rPr>
          <w:rFonts w:ascii="Arial" w:eastAsia="MS Mincho" w:hAnsi="Arial" w:cs="Arial"/>
          <w:kern w:val="0"/>
          <w:sz w:val="20"/>
          <w:szCs w:val="20"/>
          <w14:ligatures w14:val="none"/>
        </w:rPr>
      </w:pPr>
      <w:r w:rsidRPr="00693AB2">
        <w:rPr>
          <w:rFonts w:ascii="Arial" w:eastAsia="MS Mincho" w:hAnsi="Arial" w:cs="Arial"/>
          <w:kern w:val="0"/>
          <w:sz w:val="20"/>
          <w:szCs w:val="20"/>
          <w14:ligatures w14:val="none"/>
        </w:rPr>
        <w:t xml:space="preserve">2.- Subsidiariamente, si aprecia un error en los datos, parámetros, reducciones o criterios aplicados al inmueble, solicito que anule el recibo y disponga que se practique otro ajustado al dato y tramo correctos. </w:t>
      </w:r>
    </w:p>
    <w:p w14:paraId="65DD2ECC" w14:textId="77777777" w:rsidR="007B3481" w:rsidRPr="00693AB2" w:rsidRDefault="007B3481" w:rsidP="007B3481">
      <w:pPr>
        <w:spacing w:after="140"/>
        <w:jc w:val="both"/>
        <w:rPr>
          <w:rFonts w:ascii="Arial" w:eastAsia="MS Mincho" w:hAnsi="Arial" w:cs="Arial"/>
          <w:kern w:val="0"/>
          <w:sz w:val="20"/>
          <w:szCs w:val="20"/>
          <w14:ligatures w14:val="none"/>
        </w:rPr>
      </w:pPr>
      <w:r w:rsidRPr="00693AB2">
        <w:rPr>
          <w:rFonts w:ascii="Arial" w:eastAsia="MS Mincho" w:hAnsi="Arial" w:cs="Arial"/>
          <w:kern w:val="0"/>
          <w:sz w:val="20"/>
          <w:szCs w:val="20"/>
          <w14:ligatures w14:val="none"/>
        </w:rPr>
        <w:t>3.- Solicito el reconocimiento del derecho a su devolución con los intereses de demora previstos en el artículo 32 de la Ley General Tributaria, desde el ingreso indebido hasta la fecha en que se ordene el pago de la devolución. Solicito resolución expresa sobre los motivos alegados.</w:t>
      </w:r>
    </w:p>
    <w:p w14:paraId="71592D2F" w14:textId="77777777" w:rsidR="007B3481" w:rsidRPr="00693AB2" w:rsidRDefault="007B3481" w:rsidP="007B3481">
      <w:pPr>
        <w:spacing w:after="140"/>
        <w:jc w:val="both"/>
        <w:rPr>
          <w:rFonts w:ascii="Arial" w:eastAsia="MS Mincho" w:hAnsi="Arial" w:cs="Arial"/>
          <w:kern w:val="0"/>
          <w:sz w:val="20"/>
          <w:szCs w:val="20"/>
          <w14:ligatures w14:val="none"/>
        </w:rPr>
      </w:pPr>
      <w:r w:rsidRPr="00693AB2">
        <w:rPr>
          <w:rFonts w:ascii="Arial" w:eastAsia="MS Mincho" w:hAnsi="Arial" w:cs="Arial"/>
          <w:kern w:val="0"/>
          <w:sz w:val="20"/>
          <w:szCs w:val="20"/>
          <w14:ligatures w14:val="none"/>
        </w:rPr>
        <w:t xml:space="preserve">4.- Solicito asimismo que se tenga por planteada mi disconformidad con la Ordenanza Fiscal 14/2025 en cuanto fundamenta el recibo reclamado y que, si durante la tramitación se produce una sentencia firme que anule total o parcialmente los preceptos determinantes de esta cuota, se apliquen al acto impugnado, incluida su anulación y la devolución con intereses. </w:t>
      </w:r>
    </w:p>
    <w:p w14:paraId="0527658E" w14:textId="77777777" w:rsidR="007B3481" w:rsidRPr="00693AB2" w:rsidRDefault="007B3481" w:rsidP="007B3481">
      <w:pPr>
        <w:spacing w:after="140"/>
        <w:jc w:val="both"/>
        <w:rPr>
          <w:rFonts w:ascii="Arial" w:eastAsia="MS Mincho" w:hAnsi="Arial" w:cs="Arial"/>
          <w:kern w:val="0"/>
          <w:sz w:val="20"/>
          <w:szCs w:val="20"/>
          <w14:ligatures w14:val="none"/>
        </w:rPr>
      </w:pPr>
    </w:p>
    <w:p w14:paraId="536FA744" w14:textId="77777777" w:rsidR="007B3481" w:rsidRPr="00693AB2" w:rsidRDefault="007B3481" w:rsidP="007B3481">
      <w:pPr>
        <w:spacing w:after="140"/>
        <w:jc w:val="both"/>
        <w:rPr>
          <w:rFonts w:ascii="Arial" w:eastAsia="MS Mincho" w:hAnsi="Arial" w:cs="Arial"/>
          <w:kern w:val="0"/>
          <w:sz w:val="20"/>
          <w:szCs w:val="20"/>
          <w14:ligatures w14:val="none"/>
        </w:rPr>
      </w:pPr>
      <w:r w:rsidRPr="00693AB2">
        <w:rPr>
          <w:rFonts w:ascii="Arial" w:eastAsia="MS Mincho" w:hAnsi="Arial" w:cs="Arial"/>
          <w:kern w:val="0"/>
          <w:sz w:val="20"/>
          <w:szCs w:val="20"/>
          <w14:ligatures w14:val="none"/>
        </w:rPr>
        <w:t xml:space="preserve">Documentos que se acompañan: </w:t>
      </w:r>
    </w:p>
    <w:p w14:paraId="7D70BBC2" w14:textId="77777777" w:rsidR="007B3481" w:rsidRPr="00693AB2" w:rsidRDefault="007B3481" w:rsidP="007B3481">
      <w:pPr>
        <w:spacing w:after="0" w:line="240" w:lineRule="auto"/>
        <w:jc w:val="both"/>
        <w:rPr>
          <w:rFonts w:ascii="Arial" w:eastAsia="MS Mincho" w:hAnsi="Arial" w:cs="Arial"/>
          <w:kern w:val="0"/>
          <w:sz w:val="20"/>
          <w:szCs w:val="20"/>
          <w14:ligatures w14:val="none"/>
        </w:rPr>
      </w:pPr>
      <w:r w:rsidRPr="00693AB2">
        <w:rPr>
          <w:rFonts w:ascii="Arial" w:eastAsia="MS Mincho" w:hAnsi="Arial" w:cs="Arial"/>
          <w:kern w:val="0"/>
          <w:sz w:val="20"/>
          <w:szCs w:val="20"/>
          <w14:ligatures w14:val="none"/>
        </w:rPr>
        <w:t xml:space="preserve">1. Recibo impugnado. </w:t>
      </w:r>
    </w:p>
    <w:p w14:paraId="68DFFC6F" w14:textId="77777777" w:rsidR="007B3481" w:rsidRPr="00693AB2" w:rsidRDefault="007B3481" w:rsidP="007B3481">
      <w:pPr>
        <w:spacing w:after="0" w:line="240" w:lineRule="auto"/>
        <w:jc w:val="both"/>
        <w:rPr>
          <w:rFonts w:ascii="Arial" w:eastAsia="MS Mincho" w:hAnsi="Arial" w:cs="Arial"/>
          <w:kern w:val="0"/>
          <w:sz w:val="20"/>
          <w:szCs w:val="20"/>
          <w14:ligatures w14:val="none"/>
        </w:rPr>
      </w:pPr>
      <w:r w:rsidRPr="00693AB2">
        <w:rPr>
          <w:rFonts w:ascii="Arial" w:eastAsia="MS Mincho" w:hAnsi="Arial" w:cs="Arial"/>
          <w:kern w:val="0"/>
          <w:sz w:val="20"/>
          <w:szCs w:val="20"/>
          <w14:ligatures w14:val="none"/>
        </w:rPr>
        <w:t xml:space="preserve">2. Justificante de pago, si se ha abonado. </w:t>
      </w:r>
    </w:p>
    <w:p w14:paraId="73E40B02" w14:textId="77777777" w:rsidR="007B3481" w:rsidRPr="00693AB2" w:rsidRDefault="007B3481" w:rsidP="007B3481">
      <w:pPr>
        <w:spacing w:after="140"/>
        <w:jc w:val="both"/>
        <w:rPr>
          <w:rFonts w:ascii="Arial" w:eastAsia="MS Mincho" w:hAnsi="Arial" w:cs="Arial"/>
          <w:kern w:val="0"/>
          <w:sz w:val="20"/>
          <w:szCs w:val="20"/>
          <w14:ligatures w14:val="none"/>
        </w:rPr>
      </w:pPr>
    </w:p>
    <w:p w14:paraId="0E874005" w14:textId="77777777" w:rsidR="007B3481" w:rsidRPr="00693AB2" w:rsidRDefault="007B3481" w:rsidP="007B3481">
      <w:pPr>
        <w:spacing w:after="140"/>
        <w:jc w:val="both"/>
        <w:rPr>
          <w:rFonts w:ascii="Arial" w:eastAsia="MS Mincho" w:hAnsi="Arial" w:cs="Arial"/>
          <w:kern w:val="0"/>
          <w:sz w:val="20"/>
          <w:szCs w:val="20"/>
          <w14:ligatures w14:val="none"/>
        </w:rPr>
      </w:pPr>
    </w:p>
    <w:p w14:paraId="75AFAFB1" w14:textId="77777777" w:rsidR="007B3481" w:rsidRPr="00693AB2" w:rsidRDefault="007B3481" w:rsidP="007B3481">
      <w:pPr>
        <w:spacing w:after="140"/>
        <w:jc w:val="both"/>
        <w:rPr>
          <w:rFonts w:ascii="Arial" w:eastAsia="MS Mincho" w:hAnsi="Arial" w:cs="Arial"/>
          <w:kern w:val="0"/>
          <w:sz w:val="20"/>
          <w:szCs w:val="20"/>
          <w14:ligatures w14:val="none"/>
        </w:rPr>
      </w:pPr>
      <w:r w:rsidRPr="00693AB2">
        <w:rPr>
          <w:rFonts w:ascii="Arial" w:eastAsia="MS Mincho" w:hAnsi="Arial" w:cs="Arial"/>
          <w:kern w:val="0"/>
          <w:sz w:val="20"/>
          <w:szCs w:val="20"/>
          <w14:ligatures w14:val="none"/>
        </w:rPr>
        <w:t xml:space="preserve">En Madrid, a </w:t>
      </w:r>
      <w:sdt>
        <w:sdtPr>
          <w:alias w:val="Día de firma"/>
          <w:tag w:val="CAMPO_12"/>
          <w:id w:val="90012"/>
          <w:text/>
          <w:placeholder>
            <w:docPart w:val="DefaultPlaceholder_22675703"/>
          </w:placeholder>
          <w:showingPlcHdr/>
        </w:sdtPr>
        <w:sdtContent>
          <w:r>
            <w:rPr>
              <w:rFonts w:ascii="Arial" w:eastAsia="MS Mincho" w:hAnsi="Arial" w:cs="Arial"/>
              <w:kern w:val="0"/>
              <w:sz w:val="20"/>
              <w:szCs w:val="20"/>
              <w14:ligatures w14:val="none"/>
              <w:color w:val="FF0000"/>
            </w:rPr>
            <w:t>Haga clic aquí</w:t>
          </w:r>
        </w:sdtContent>
      </w:sdt>
      <w:r w:rsidRPr="00693AB2">
        <w:rPr>
          <w:rFonts w:ascii="Arial" w:eastAsia="MS Mincho" w:hAnsi="Arial" w:cs="Arial"/>
          <w:kern w:val="0"/>
          <w:sz w:val="20"/>
          <w:szCs w:val="20"/>
          <w14:ligatures w14:val="none"/>
        </w:rPr>
        <w:t xml:space="preserve"> de </w:t>
      </w:r>
      <w:sdt>
        <w:sdtPr>
          <w:alias w:val="Mes de firma"/>
          <w:tag w:val="CAMPO_13"/>
          <w:id w:val="90013"/>
          <w:text/>
          <w:placeholder>
            <w:docPart w:val="DefaultPlaceholder_22675703"/>
          </w:placeholder>
          <w:showingPlcHdr/>
        </w:sdtPr>
        <w:sdtContent>
          <w:r>
            <w:rPr>
              <w:rFonts w:ascii="Arial" w:eastAsia="MS Mincho" w:hAnsi="Arial" w:cs="Arial"/>
              <w:kern w:val="0"/>
              <w:sz w:val="20"/>
              <w:szCs w:val="20"/>
              <w14:ligatures w14:val="none"/>
              <w:color w:val="FF0000"/>
            </w:rPr>
            <w:t>Haga clic aquí</w:t>
          </w:r>
        </w:sdtContent>
      </w:sdt>
      <w:r w:rsidRPr="00693AB2">
        <w:rPr>
          <w:rFonts w:ascii="Arial" w:eastAsia="MS Mincho" w:hAnsi="Arial" w:cs="Arial"/>
          <w:kern w:val="0"/>
          <w:sz w:val="20"/>
          <w:szCs w:val="20"/>
          <w14:ligatures w14:val="none"/>
        </w:rPr>
        <w:t xml:space="preserve"> de </w:t>
      </w:r>
      <w:sdt>
        <w:sdtPr>
          <w:alias w:val="Año de firma"/>
          <w:tag w:val="CAMPO_14"/>
          <w:id w:val="90014"/>
          <w:text/>
          <w:placeholder>
            <w:docPart w:val="DefaultPlaceholder_22675703"/>
          </w:placeholder>
          <w:showingPlcHdr/>
        </w:sdtPr>
        <w:sdtContent>
          <w:r>
            <w:rPr>
              <w:rFonts w:ascii="Arial" w:eastAsia="MS Mincho" w:hAnsi="Arial" w:cs="Arial"/>
              <w:kern w:val="0"/>
              <w:sz w:val="20"/>
              <w:szCs w:val="20"/>
              <w14:ligatures w14:val="none"/>
              <w:color w:val="FF0000"/>
            </w:rPr>
            <w:t>Haga clic aquí</w:t>
          </w:r>
        </w:sdtContent>
      </w:sdt>
      <w:r w:rsidRPr="00693AB2">
        <w:rPr>
          <w:rFonts w:ascii="Arial" w:eastAsia="MS Mincho" w:hAnsi="Arial" w:cs="Arial"/>
          <w:kern w:val="0"/>
          <w:sz w:val="20"/>
          <w:szCs w:val="20"/>
          <w14:ligatures w14:val="none"/>
        </w:rPr>
        <w:t xml:space="preserve">.                        </w:t>
      </w:r>
    </w:p>
    <w:p w14:paraId="6FF41C1F" w14:textId="77777777" w:rsidR="007B3481" w:rsidRDefault="007B3481" w:rsidP="007B3481">
      <w:pPr>
        <w:spacing w:after="140"/>
        <w:jc w:val="right"/>
        <w:rPr>
          <w:rFonts w:ascii="Arial" w:eastAsia="MS Mincho" w:hAnsi="Arial" w:cs="Arial"/>
          <w:kern w:val="0"/>
          <w:sz w:val="20"/>
          <w:szCs w:val="20"/>
          <w14:ligatures w14:val="none"/>
        </w:rPr>
      </w:pPr>
      <w:r w:rsidRPr="00693AB2">
        <w:rPr>
          <w:rFonts w:ascii="Arial" w:eastAsia="MS Mincho" w:hAnsi="Arial" w:cs="Arial"/>
          <w:kern w:val="0"/>
          <w:sz w:val="20"/>
          <w:szCs w:val="20"/>
          <w14:ligatures w14:val="none"/>
        </w:rPr>
        <w:t>Firma:</w:t>
      </w:r>
    </w:p>
    <w:p w14:paraId="4925D34C" w14:textId="77777777" w:rsidR="00B96A39" w:rsidRDefault="00B96A39" w:rsidP="007B3481">
      <w:pPr>
        <w:spacing w:after="140"/>
        <w:jc w:val="right"/>
        <w:rPr>
          <w:rFonts w:ascii="Arial" w:eastAsia="MS Mincho" w:hAnsi="Arial" w:cs="Arial"/>
          <w:kern w:val="0"/>
          <w:sz w:val="20"/>
          <w:szCs w:val="20"/>
          <w14:ligatures w14:val="none"/>
        </w:rPr>
      </w:pPr>
    </w:p>
    <w:p w14:paraId="577EDE67" w14:textId="77777777" w:rsidR="00B96A39" w:rsidRDefault="00B96A39" w:rsidP="007B3481">
      <w:pPr>
        <w:spacing w:after="140"/>
        <w:jc w:val="right"/>
        <w:rPr>
          <w:rFonts w:ascii="Arial" w:eastAsia="MS Mincho" w:hAnsi="Arial" w:cs="Arial"/>
          <w:kern w:val="0"/>
          <w:sz w:val="20"/>
          <w:szCs w:val="20"/>
          <w14:ligatures w14:val="none"/>
        </w:rPr>
      </w:pPr>
    </w:p>
    <w:p w14:paraId="250070CC" w14:textId="49331B3A" w:rsidR="00B96A39" w:rsidRPr="00693AB2" w:rsidRDefault="00B96A39" w:rsidP="007B3481">
      <w:pPr>
        <w:spacing w:after="140"/>
        <w:jc w:val="right"/>
        <w:rPr>
          <w:rFonts w:ascii="Arial" w:eastAsia="MS Mincho" w:hAnsi="Arial" w:cs="Arial"/>
          <w:kern w:val="0"/>
          <w:sz w:val="20"/>
          <w:szCs w:val="20"/>
          <w14:ligatures w14:val="none"/>
        </w:rPr>
      </w:pPr>
      <w:r>
        <w:rPr>
          <w:rFonts w:ascii="Arial" w:eastAsia="MS Mincho" w:hAnsi="Arial" w:cs="Arial"/>
          <w:kern w:val="0"/>
          <w:sz w:val="20"/>
          <w:szCs w:val="20"/>
          <w14:ligatures w14:val="none"/>
        </w:rPr>
        <w:t>Nombre y apellidos</w:t>
      </w:r>
    </w:p>
    <w:p w14:paraId="02E7D72A" w14:textId="77777777" w:rsidR="007B3481" w:rsidRPr="00693AB2" w:rsidRDefault="007B3481" w:rsidP="007B3481">
      <w:pPr>
        <w:spacing w:after="140"/>
        <w:jc w:val="both"/>
        <w:rPr>
          <w:rFonts w:ascii="Arial" w:eastAsia="MS Mincho" w:hAnsi="Arial" w:cs="Arial"/>
          <w:kern w:val="0"/>
          <w:sz w:val="20"/>
          <w:szCs w:val="20"/>
          <w14:ligatures w14:val="none"/>
        </w:rPr>
      </w:pPr>
    </w:p>
    <w:p w14:paraId="71E76776" w14:textId="77777777" w:rsidR="00B803BE" w:rsidRPr="007B3481" w:rsidRDefault="00B803BE" w:rsidP="007B3481">
      <w:pPr>
        <w:jc w:val="both"/>
        <w:rPr>
          <w:rFonts w:ascii="Arial" w:hAnsi="Arial" w:cs="Arial"/>
          <w:sz w:val="20"/>
          <w:szCs w:val="20"/>
        </w:rPr>
      </w:pPr>
    </w:p>
    <w:sectPr w:rsidR="00B803BE" w:rsidRPr="007B3481" w:rsidSect="00B96A39">
      <w:footerReference w:type="default" r:id="rId12"/>
      <w:pgSz w:w="11906" w:h="16838"/>
      <w:pgMar w:top="1247" w:right="1446" w:bottom="1843" w:left="144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A368F" w14:textId="77777777" w:rsidR="00A04AAA" w:rsidRPr="00693AB2" w:rsidRDefault="00A04AAA" w:rsidP="007B3481">
      <w:pPr>
        <w:spacing w:after="0" w:line="240" w:lineRule="auto"/>
      </w:pPr>
      <w:r w:rsidRPr="00693AB2">
        <w:separator/>
      </w:r>
    </w:p>
  </w:endnote>
  <w:endnote w:type="continuationSeparator" w:id="0">
    <w:p w14:paraId="3F87843B" w14:textId="77777777" w:rsidR="00A04AAA" w:rsidRPr="00693AB2" w:rsidRDefault="00A04AAA" w:rsidP="007B3481">
      <w:pPr>
        <w:spacing w:after="0" w:line="240" w:lineRule="auto"/>
      </w:pPr>
      <w:r w:rsidRPr="00693A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0849192"/>
      <w:docPartObj>
        <w:docPartGallery w:val="Page Numbers (Bottom of Page)"/>
        <w:docPartUnique/>
      </w:docPartObj>
    </w:sdtPr>
    <w:sdtContent>
      <w:p w14:paraId="3F04CF7E" w14:textId="25378100" w:rsidR="007B3481" w:rsidRPr="00693AB2" w:rsidRDefault="007B3481">
        <w:pPr>
          <w:pStyle w:val="Piedepgina"/>
          <w:jc w:val="right"/>
        </w:pPr>
        <w:r w:rsidRPr="00693AB2">
          <w:fldChar w:fldCharType="begin"/>
        </w:r>
        <w:r w:rsidRPr="00693AB2">
          <w:instrText>PAGE   \* MERGEFORMAT</w:instrText>
        </w:r>
        <w:r w:rsidRPr="00693AB2">
          <w:fldChar w:fldCharType="separate"/>
        </w:r>
        <w:r w:rsidRPr="00693AB2">
          <w:t>2</w:t>
        </w:r>
        <w:r w:rsidRPr="00693AB2">
          <w:fldChar w:fldCharType="end"/>
        </w:r>
      </w:p>
    </w:sdtContent>
  </w:sdt>
  <w:p w14:paraId="52066FD6" w14:textId="77777777" w:rsidR="007B3481" w:rsidRPr="00693AB2" w:rsidRDefault="007B348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BFB60" w14:textId="77777777" w:rsidR="00A04AAA" w:rsidRPr="00693AB2" w:rsidRDefault="00A04AAA" w:rsidP="007B3481">
      <w:pPr>
        <w:spacing w:after="0" w:line="240" w:lineRule="auto"/>
      </w:pPr>
      <w:r w:rsidRPr="00693AB2">
        <w:separator/>
      </w:r>
    </w:p>
  </w:footnote>
  <w:footnote w:type="continuationSeparator" w:id="0">
    <w:p w14:paraId="2DEF3F3D" w14:textId="77777777" w:rsidR="00A04AAA" w:rsidRPr="00693AB2" w:rsidRDefault="00A04AAA" w:rsidP="007B3481">
      <w:pPr>
        <w:spacing w:after="0" w:line="240" w:lineRule="auto"/>
      </w:pPr>
      <w:r w:rsidRPr="00693AB2">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481"/>
    <w:rsid w:val="000129DE"/>
    <w:rsid w:val="00037F51"/>
    <w:rsid w:val="00151424"/>
    <w:rsid w:val="001E1FE8"/>
    <w:rsid w:val="001F4EE6"/>
    <w:rsid w:val="00222785"/>
    <w:rsid w:val="002660E2"/>
    <w:rsid w:val="00355588"/>
    <w:rsid w:val="00406388"/>
    <w:rsid w:val="004B5EE0"/>
    <w:rsid w:val="004C0981"/>
    <w:rsid w:val="004F2D5F"/>
    <w:rsid w:val="00503E12"/>
    <w:rsid w:val="00534E7C"/>
    <w:rsid w:val="005552AB"/>
    <w:rsid w:val="00613EE6"/>
    <w:rsid w:val="00622DBF"/>
    <w:rsid w:val="006919AB"/>
    <w:rsid w:val="00693AB2"/>
    <w:rsid w:val="006B4A5D"/>
    <w:rsid w:val="007A3EF5"/>
    <w:rsid w:val="007B3481"/>
    <w:rsid w:val="007B68A1"/>
    <w:rsid w:val="00807B65"/>
    <w:rsid w:val="00884974"/>
    <w:rsid w:val="008B6836"/>
    <w:rsid w:val="00905424"/>
    <w:rsid w:val="00921A3E"/>
    <w:rsid w:val="009351FA"/>
    <w:rsid w:val="00A04AAA"/>
    <w:rsid w:val="00A765C1"/>
    <w:rsid w:val="00AE2353"/>
    <w:rsid w:val="00B35A82"/>
    <w:rsid w:val="00B803BE"/>
    <w:rsid w:val="00B96A39"/>
    <w:rsid w:val="00CD7D88"/>
    <w:rsid w:val="00D8353A"/>
    <w:rsid w:val="00E10555"/>
    <w:rsid w:val="00EC1FC7"/>
    <w:rsid w:val="00EF6DE7"/>
    <w:rsid w:val="00F04C4E"/>
    <w:rsid w:val="00FD417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E95D6"/>
  <w15:chartTrackingRefBased/>
  <w15:docId w15:val="{F49D28DB-C973-472C-8A63-BA8E1FA28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B34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B34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B348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B348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B348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B348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B348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B348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B348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B348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B348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B348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B348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B348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B348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B348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B348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B3481"/>
    <w:rPr>
      <w:rFonts w:eastAsiaTheme="majorEastAsia" w:cstheme="majorBidi"/>
      <w:color w:val="272727" w:themeColor="text1" w:themeTint="D8"/>
    </w:rPr>
  </w:style>
  <w:style w:type="paragraph" w:styleId="Ttulo">
    <w:name w:val="Title"/>
    <w:basedOn w:val="Normal"/>
    <w:next w:val="Normal"/>
    <w:link w:val="TtuloCar"/>
    <w:uiPriority w:val="10"/>
    <w:qFormat/>
    <w:rsid w:val="007B34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B348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B348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B348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B3481"/>
    <w:pPr>
      <w:spacing w:before="160"/>
      <w:jc w:val="center"/>
    </w:pPr>
    <w:rPr>
      <w:i/>
      <w:iCs/>
      <w:color w:val="404040" w:themeColor="text1" w:themeTint="BF"/>
    </w:rPr>
  </w:style>
  <w:style w:type="character" w:customStyle="1" w:styleId="CitaCar">
    <w:name w:val="Cita Car"/>
    <w:basedOn w:val="Fuentedeprrafopredeter"/>
    <w:link w:val="Cita"/>
    <w:uiPriority w:val="29"/>
    <w:rsid w:val="007B3481"/>
    <w:rPr>
      <w:i/>
      <w:iCs/>
      <w:color w:val="404040" w:themeColor="text1" w:themeTint="BF"/>
    </w:rPr>
  </w:style>
  <w:style w:type="paragraph" w:styleId="Prrafodelista">
    <w:name w:val="List Paragraph"/>
    <w:basedOn w:val="Normal"/>
    <w:uiPriority w:val="34"/>
    <w:qFormat/>
    <w:rsid w:val="007B3481"/>
    <w:pPr>
      <w:ind w:left="720"/>
      <w:contextualSpacing/>
    </w:pPr>
  </w:style>
  <w:style w:type="character" w:styleId="nfasisintenso">
    <w:name w:val="Intense Emphasis"/>
    <w:basedOn w:val="Fuentedeprrafopredeter"/>
    <w:uiPriority w:val="21"/>
    <w:qFormat/>
    <w:rsid w:val="007B3481"/>
    <w:rPr>
      <w:i/>
      <w:iCs/>
      <w:color w:val="0F4761" w:themeColor="accent1" w:themeShade="BF"/>
    </w:rPr>
  </w:style>
  <w:style w:type="paragraph" w:styleId="Citadestacada">
    <w:name w:val="Intense Quote"/>
    <w:basedOn w:val="Normal"/>
    <w:next w:val="Normal"/>
    <w:link w:val="CitadestacadaCar"/>
    <w:uiPriority w:val="30"/>
    <w:qFormat/>
    <w:rsid w:val="007B34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B3481"/>
    <w:rPr>
      <w:i/>
      <w:iCs/>
      <w:color w:val="0F4761" w:themeColor="accent1" w:themeShade="BF"/>
    </w:rPr>
  </w:style>
  <w:style w:type="character" w:styleId="Referenciaintensa">
    <w:name w:val="Intense Reference"/>
    <w:basedOn w:val="Fuentedeprrafopredeter"/>
    <w:uiPriority w:val="32"/>
    <w:qFormat/>
    <w:rsid w:val="007B3481"/>
    <w:rPr>
      <w:b/>
      <w:bCs/>
      <w:smallCaps/>
      <w:color w:val="0F4761" w:themeColor="accent1" w:themeShade="BF"/>
      <w:spacing w:val="5"/>
    </w:rPr>
  </w:style>
  <w:style w:type="paragraph" w:styleId="Encabezado">
    <w:name w:val="header"/>
    <w:basedOn w:val="Normal"/>
    <w:link w:val="EncabezadoCar"/>
    <w:uiPriority w:val="99"/>
    <w:unhideWhenUsed/>
    <w:rsid w:val="007B348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B3481"/>
  </w:style>
  <w:style w:type="paragraph" w:styleId="Piedepgina">
    <w:name w:val="footer"/>
    <w:basedOn w:val="Normal"/>
    <w:link w:val="PiedepginaCar"/>
    <w:uiPriority w:val="99"/>
    <w:unhideWhenUsed/>
    <w:rsid w:val="007B348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B3481"/>
  </w:style>
  <w:style w:type="paragraph" w:styleId="NormalWeb">
    <w:name w:val="Normal (Web)"/>
    <w:basedOn w:val="Normal"/>
    <w:uiPriority w:val="99"/>
    <w:semiHidden/>
    <w:unhideWhenUsed/>
    <w:rsid w:val="00E1055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nsparencia.madrid.es/UnidadWeb/UGNormativas/Normativa/HUELLANORMATIVA/Fiscales/2026/TasaResiduos/Ficheros/InformeAsesoriaJuridica20251020.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ransparencia.madrid.es/UnidadWeb/UGNormativas/Normativa/HUELLANORMATIVA/Fiscales/2026/TasaResiduos/Ficheros/InformeTecnEcon20251021.pdf"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agenciatributaria.madrid.es/portales/contribuyente/es/Impuestos-tasas-y-precios-publicos/Gestion-de-Residuos-TGR-/Calculo-de-la-cuota-de-uso-catastral/Calculo-de-la-cuota-de-inmuebles-de-uso-residencial-de-la-Tasa-de-Gestion-de-Residuos-TGR-/?vgnextfmt=default&amp;vgnextoid=ff0f8f5dd14e3910VgnVCM2000001f4a900aRCRD&amp;vgnextchannel=19076b2e8b815910VgnVCM2000001f4a900aRCRD" TargetMode="External"/><Relationship Id="rId5" Type="http://schemas.openxmlformats.org/officeDocument/2006/relationships/footnotes" Target="footnotes.xml"/><Relationship Id="rId10" Type="http://schemas.openxmlformats.org/officeDocument/2006/relationships/hyperlink" Target="https://sede.madrid.es/csvfiles/UnidadesDescentralizadas/UDCBOAM/Contenidos/Boletin/2026/Marzo/Ficheros%20PDF/BOAM_10097_30032026151941733.pdf" TargetMode="External"/><Relationship Id="rId4" Type="http://schemas.openxmlformats.org/officeDocument/2006/relationships/webSettings" Target="webSettings.xml"/><Relationship Id="rId9" Type="http://schemas.openxmlformats.org/officeDocument/2006/relationships/hyperlink" Target="https://transparencia.madrid.es/UnidadWeb/UGNormativas/Normativa/HUELLANORMATIVA/Fiscales/2026/TasaResiduos/Ficheros/MemoriaAlegaciones20251126.pdf"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50F927-ACEA-4271-B9B1-6107871EB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2842</Words>
  <Characters>15634</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Manager>Elvira</Manager>
  <Company/>
  <LinksUpToDate>false</LinksUpToDate>
  <CharactersWithSpaces>18440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Elvira Ortega</dc:creator>
  <cp:keywords/>
  <dc:description/>
  <cp:lastModifiedBy>Ortega Garcia, Elvira</cp:lastModifiedBy>
  <cp:revision>3</cp:revision>
  <cp:lastPrinted>2026-10-15T09:12:00Z</cp:lastPrinted>
  <dcterms:created xsi:type="dcterms:W3CDTF">2026-10-15T16:19:00Z</dcterms:created>
  <dcterms:modified xsi:type="dcterms:W3CDTF">2026-10-19T09:35:00Z</dcterms:modified>
</cp:coreProperties>
</file>