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280E0" w14:textId="77777777" w:rsidR="00E66075" w:rsidRDefault="00E66075">
      <w:pPr>
        <w:pStyle w:val="Textoindependiente"/>
        <w:ind w:left="449"/>
        <w:jc w:val="left"/>
        <w:rPr>
          <w:rFonts w:ascii="Times New Roman"/>
          <w:sz w:val="20"/>
        </w:rPr>
      </w:pPr>
    </w:p>
    <w:p w14:paraId="3000856A" w14:textId="77777777" w:rsidR="00E66075" w:rsidRDefault="00E66075">
      <w:pPr>
        <w:pStyle w:val="Textoindependiente"/>
        <w:ind w:left="449"/>
        <w:jc w:val="left"/>
        <w:rPr>
          <w:rFonts w:ascii="Times New Roman"/>
          <w:sz w:val="20"/>
        </w:rPr>
      </w:pPr>
    </w:p>
    <w:p w14:paraId="76FBC7BD" w14:textId="2A763A71" w:rsidR="005228FC" w:rsidRDefault="00641C10">
      <w:pPr>
        <w:pStyle w:val="Textoindependiente"/>
        <w:ind w:left="449"/>
        <w:jc w:val="left"/>
        <w:rPr>
          <w:rFonts w:ascii="Times New Roman"/>
          <w:sz w:val="20"/>
        </w:rPr>
      </w:pPr>
      <w:r>
        <w:rPr>
          <w:rFonts w:ascii="Helvetica" w:hAnsi="Helvetica"/>
          <w:noProof/>
          <w:lang w:eastAsia="es-ES"/>
        </w:rPr>
        <w:drawing>
          <wp:inline distT="0" distB="0" distL="0" distR="0" wp14:anchorId="1EB04508" wp14:editId="3C2C92B7">
            <wp:extent cx="1422400" cy="80827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elected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12" cy="81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CBBCC" w14:textId="41AD442C" w:rsidR="00E66075" w:rsidRDefault="00E66075">
      <w:pPr>
        <w:pStyle w:val="Textoindependiente"/>
        <w:ind w:left="449"/>
        <w:jc w:val="left"/>
        <w:rPr>
          <w:rFonts w:ascii="Times New Roman"/>
          <w:sz w:val="20"/>
        </w:rPr>
      </w:pPr>
    </w:p>
    <w:p w14:paraId="18731D55" w14:textId="0DD52581" w:rsidR="00722DAF" w:rsidRDefault="00722DAF" w:rsidP="00722DAF">
      <w:pPr>
        <w:pStyle w:val="Textoindependiente"/>
        <w:ind w:left="449"/>
        <w:rPr>
          <w:rFonts w:ascii="Times New Roman"/>
        </w:rPr>
      </w:pPr>
      <w:r>
        <w:rPr>
          <w:rFonts w:ascii="Times New Roman"/>
        </w:rPr>
        <w:t>El Grupo Municipal Socialista se ha comprometido con el embajador del Estado Palestino a llevar una proposici</w:t>
      </w:r>
      <w:r>
        <w:rPr>
          <w:rFonts w:ascii="Times New Roman"/>
        </w:rPr>
        <w:t>ó</w:t>
      </w:r>
      <w:r>
        <w:rPr>
          <w:rFonts w:ascii="Times New Roman"/>
        </w:rPr>
        <w:t>n al pr</w:t>
      </w:r>
      <w:r>
        <w:rPr>
          <w:rFonts w:ascii="Times New Roman"/>
        </w:rPr>
        <w:t>ó</w:t>
      </w:r>
      <w:r>
        <w:rPr>
          <w:rFonts w:ascii="Times New Roman"/>
        </w:rPr>
        <w:t>ximo Pleno del Ayuntamiento de Madrid con los siguientes puntos:</w:t>
      </w:r>
    </w:p>
    <w:p w14:paraId="22AA1486" w14:textId="77777777" w:rsidR="00722DAF" w:rsidRPr="00722DAF" w:rsidRDefault="00722DAF" w:rsidP="00722DAF">
      <w:pPr>
        <w:pStyle w:val="Textoindependiente"/>
        <w:ind w:left="449"/>
        <w:rPr>
          <w:rFonts w:ascii="Times New Roman"/>
        </w:rPr>
      </w:pPr>
    </w:p>
    <w:p w14:paraId="71E20D34" w14:textId="36E9BF03" w:rsidR="00722DAF" w:rsidRPr="00722DAF" w:rsidRDefault="00722DAF" w:rsidP="00722DAF">
      <w:pPr>
        <w:pStyle w:val="Textoindependiente"/>
        <w:ind w:left="449"/>
        <w:rPr>
          <w:rFonts w:ascii="Times New Roman"/>
        </w:rPr>
      </w:pPr>
      <w:r>
        <w:rPr>
          <w:rFonts w:ascii="Times New Roman"/>
        </w:rPr>
        <w:t xml:space="preserve">1.- </w:t>
      </w:r>
      <w:r w:rsidRPr="00722DAF">
        <w:rPr>
          <w:rFonts w:ascii="Times New Roman"/>
        </w:rPr>
        <w:t>Exigir el cese inmediato de las hostilidades en la Franja de Gaza, as</w:t>
      </w:r>
      <w:r w:rsidRPr="00722DAF">
        <w:rPr>
          <w:rFonts w:ascii="Times New Roman"/>
        </w:rPr>
        <w:t>í</w:t>
      </w:r>
      <w:r w:rsidRPr="00722DAF">
        <w:rPr>
          <w:rFonts w:ascii="Times New Roman"/>
        </w:rPr>
        <w:t xml:space="preserve"> como el respeto estricto al Derecho Internacional Humanitario y la protecci</w:t>
      </w:r>
      <w:r w:rsidRPr="00722DAF">
        <w:rPr>
          <w:rFonts w:ascii="Times New Roman"/>
        </w:rPr>
        <w:t>ó</w:t>
      </w:r>
      <w:r w:rsidRPr="00722DAF">
        <w:rPr>
          <w:rFonts w:ascii="Times New Roman"/>
        </w:rPr>
        <w:t>n de la poblaci</w:t>
      </w:r>
      <w:r w:rsidRPr="00722DAF">
        <w:rPr>
          <w:rFonts w:ascii="Times New Roman"/>
        </w:rPr>
        <w:t>ó</w:t>
      </w:r>
      <w:r w:rsidRPr="00722DAF">
        <w:rPr>
          <w:rFonts w:ascii="Times New Roman"/>
        </w:rPr>
        <w:t>n civil, con especial atenci</w:t>
      </w:r>
      <w:r w:rsidRPr="00722DAF">
        <w:rPr>
          <w:rFonts w:ascii="Times New Roman"/>
        </w:rPr>
        <w:t>ó</w:t>
      </w:r>
      <w:r w:rsidRPr="00722DAF">
        <w:rPr>
          <w:rFonts w:ascii="Times New Roman"/>
        </w:rPr>
        <w:t>n a la infancia.</w:t>
      </w:r>
    </w:p>
    <w:p w14:paraId="08216A65" w14:textId="77777777" w:rsidR="00722DAF" w:rsidRPr="00722DAF" w:rsidRDefault="00722DAF" w:rsidP="00722DAF">
      <w:pPr>
        <w:pStyle w:val="Textoindependiente"/>
        <w:ind w:left="449"/>
        <w:rPr>
          <w:rFonts w:ascii="Times New Roman"/>
        </w:rPr>
      </w:pPr>
    </w:p>
    <w:p w14:paraId="04FB6AC1" w14:textId="450C731F" w:rsidR="00722DAF" w:rsidRPr="00722DAF" w:rsidRDefault="00722DAF" w:rsidP="00722DAF">
      <w:pPr>
        <w:pStyle w:val="Textoindependiente"/>
        <w:ind w:left="449"/>
        <w:rPr>
          <w:rFonts w:ascii="Times New Roman"/>
        </w:rPr>
      </w:pPr>
      <w:r>
        <w:rPr>
          <w:rFonts w:ascii="Times New Roman"/>
        </w:rPr>
        <w:t xml:space="preserve">2.- </w:t>
      </w:r>
      <w:r w:rsidRPr="00722DAF">
        <w:rPr>
          <w:rFonts w:ascii="Times New Roman"/>
        </w:rPr>
        <w:t>Reclamar el acceso completo, seguro y sin restricciones de la ayuda humanitaria a la poblaci</w:t>
      </w:r>
      <w:r w:rsidRPr="00722DAF">
        <w:rPr>
          <w:rFonts w:ascii="Times New Roman"/>
        </w:rPr>
        <w:t>ó</w:t>
      </w:r>
      <w:r w:rsidRPr="00722DAF">
        <w:rPr>
          <w:rFonts w:ascii="Times New Roman"/>
        </w:rPr>
        <w:t>n palestina, conforme a los principios de imparcialidad, independencia y neutralidad, y rechaza</w:t>
      </w:r>
      <w:r>
        <w:rPr>
          <w:rFonts w:ascii="Times New Roman"/>
        </w:rPr>
        <w:t>r</w:t>
      </w:r>
      <w:r w:rsidRPr="00722DAF">
        <w:rPr>
          <w:rFonts w:ascii="Times New Roman"/>
        </w:rPr>
        <w:t xml:space="preserve"> el uso del hambre como instrumento de guerra.</w:t>
      </w:r>
    </w:p>
    <w:p w14:paraId="3C3B1B38" w14:textId="77777777" w:rsidR="00722DAF" w:rsidRPr="00722DAF" w:rsidRDefault="00722DAF" w:rsidP="00722DAF">
      <w:pPr>
        <w:pStyle w:val="Textoindependiente"/>
        <w:ind w:left="449"/>
        <w:rPr>
          <w:rFonts w:ascii="Times New Roman"/>
        </w:rPr>
      </w:pPr>
    </w:p>
    <w:p w14:paraId="42901A85" w14:textId="21D2E9ED" w:rsidR="00722DAF" w:rsidRPr="00722DAF" w:rsidRDefault="00722DAF" w:rsidP="00722DAF">
      <w:pPr>
        <w:pStyle w:val="Textoindependiente"/>
        <w:ind w:left="449"/>
        <w:rPr>
          <w:rFonts w:ascii="Times New Roman"/>
        </w:rPr>
      </w:pPr>
      <w:r>
        <w:rPr>
          <w:rFonts w:ascii="Times New Roman"/>
        </w:rPr>
        <w:t>3.- I</w:t>
      </w:r>
      <w:r w:rsidRPr="00722DAF">
        <w:rPr>
          <w:rFonts w:ascii="Times New Roman"/>
        </w:rPr>
        <w:t xml:space="preserve">nstar al </w:t>
      </w:r>
      <w:r w:rsidRPr="00722DAF">
        <w:rPr>
          <w:rFonts w:ascii="Times New Roman"/>
        </w:rPr>
        <w:t>Á</w:t>
      </w:r>
      <w:r w:rsidRPr="00722DAF">
        <w:rPr>
          <w:rFonts w:ascii="Times New Roman"/>
        </w:rPr>
        <w:t>rea competente del Gobierno municipal a firmar un convenio de colaboraci</w:t>
      </w:r>
      <w:r w:rsidRPr="00722DAF">
        <w:rPr>
          <w:rFonts w:ascii="Times New Roman"/>
        </w:rPr>
        <w:t>ó</w:t>
      </w:r>
      <w:r w:rsidRPr="00722DAF">
        <w:rPr>
          <w:rFonts w:ascii="Times New Roman"/>
        </w:rPr>
        <w:t>n con la UNRWA para apoyar institucional y econ</w:t>
      </w:r>
      <w:r w:rsidRPr="00722DAF">
        <w:rPr>
          <w:rFonts w:ascii="Times New Roman"/>
        </w:rPr>
        <w:t>ó</w:t>
      </w:r>
      <w:r w:rsidRPr="00722DAF">
        <w:rPr>
          <w:rFonts w:ascii="Times New Roman"/>
        </w:rPr>
        <w:t>micamente sus labores de ayuda humanitaria en Gaza.</w:t>
      </w:r>
    </w:p>
    <w:p w14:paraId="2D563EBA" w14:textId="77777777" w:rsidR="00722DAF" w:rsidRPr="00722DAF" w:rsidRDefault="00722DAF" w:rsidP="00722DAF">
      <w:pPr>
        <w:pStyle w:val="Textoindependiente"/>
        <w:ind w:left="449"/>
        <w:rPr>
          <w:rFonts w:ascii="Times New Roman"/>
        </w:rPr>
      </w:pPr>
    </w:p>
    <w:p w14:paraId="60B13A50" w14:textId="4ACD4106" w:rsidR="00722DAF" w:rsidRPr="00722DAF" w:rsidRDefault="00722DAF" w:rsidP="00722DAF">
      <w:pPr>
        <w:pStyle w:val="Textoindependiente"/>
        <w:ind w:left="449"/>
        <w:rPr>
          <w:rFonts w:ascii="Times New Roman"/>
        </w:rPr>
      </w:pPr>
      <w:r>
        <w:rPr>
          <w:rFonts w:ascii="Times New Roman"/>
        </w:rPr>
        <w:t xml:space="preserve">4.- </w:t>
      </w:r>
      <w:r w:rsidRPr="00722DAF">
        <w:rPr>
          <w:rFonts w:ascii="Times New Roman"/>
        </w:rPr>
        <w:t>Instar al Gobierno de Almeida a reforzar su colaboraci</w:t>
      </w:r>
      <w:r w:rsidRPr="00722DAF">
        <w:rPr>
          <w:rFonts w:ascii="Times New Roman"/>
        </w:rPr>
        <w:t>ó</w:t>
      </w:r>
      <w:r w:rsidRPr="00722DAF">
        <w:rPr>
          <w:rFonts w:ascii="Times New Roman"/>
        </w:rPr>
        <w:t>n institucional con la Embajada del Estado de Palestina en Espa</w:t>
      </w:r>
      <w:r w:rsidRPr="00722DAF">
        <w:rPr>
          <w:rFonts w:ascii="Times New Roman"/>
        </w:rPr>
        <w:t>ñ</w:t>
      </w:r>
      <w:r w:rsidRPr="00722DAF">
        <w:rPr>
          <w:rFonts w:ascii="Times New Roman"/>
        </w:rPr>
        <w:t>a.</w:t>
      </w:r>
    </w:p>
    <w:p w14:paraId="0A16F99D" w14:textId="77777777" w:rsidR="00722DAF" w:rsidRPr="00722DAF" w:rsidRDefault="00722DAF" w:rsidP="00722DAF">
      <w:pPr>
        <w:pStyle w:val="Textoindependiente"/>
        <w:ind w:left="449"/>
        <w:rPr>
          <w:rFonts w:ascii="Times New Roman"/>
        </w:rPr>
      </w:pPr>
    </w:p>
    <w:p w14:paraId="7A21B6C1" w14:textId="3F0860EE" w:rsidR="00722DAF" w:rsidRDefault="00722DAF" w:rsidP="00722DAF">
      <w:pPr>
        <w:pStyle w:val="Textoindependiente"/>
        <w:ind w:left="449"/>
        <w:jc w:val="left"/>
        <w:rPr>
          <w:rFonts w:ascii="Times New Roman"/>
        </w:rPr>
      </w:pPr>
      <w:r>
        <w:rPr>
          <w:rFonts w:ascii="Times New Roman"/>
        </w:rPr>
        <w:t>5.-</w:t>
      </w:r>
      <w:r w:rsidRPr="00722DAF">
        <w:rPr>
          <w:rFonts w:ascii="Times New Roman"/>
        </w:rPr>
        <w:t xml:space="preserve"> </w:t>
      </w:r>
      <w:r>
        <w:rPr>
          <w:rFonts w:ascii="Times New Roman"/>
        </w:rPr>
        <w:t>I</w:t>
      </w:r>
      <w:r w:rsidRPr="00722DAF">
        <w:rPr>
          <w:rFonts w:ascii="Times New Roman"/>
        </w:rPr>
        <w:t>nstar al Ejecutivo municipal a apoyar la posici</w:t>
      </w:r>
      <w:r w:rsidRPr="00722DAF">
        <w:rPr>
          <w:rFonts w:ascii="Times New Roman"/>
        </w:rPr>
        <w:t>ó</w:t>
      </w:r>
      <w:r w:rsidRPr="00722DAF">
        <w:rPr>
          <w:rFonts w:ascii="Times New Roman"/>
        </w:rPr>
        <w:t>n del Gobierno de Espa</w:t>
      </w:r>
      <w:r w:rsidRPr="00722DAF">
        <w:rPr>
          <w:rFonts w:ascii="Times New Roman"/>
        </w:rPr>
        <w:t>ñ</w:t>
      </w:r>
      <w:r w:rsidRPr="00722DAF">
        <w:rPr>
          <w:rFonts w:ascii="Times New Roman"/>
        </w:rPr>
        <w:t>a en la cumbre internacional celebrada en Madrid el 25 de mayo de 2025, as</w:t>
      </w:r>
      <w:r w:rsidRPr="00722DAF">
        <w:rPr>
          <w:rFonts w:ascii="Times New Roman"/>
        </w:rPr>
        <w:t>í</w:t>
      </w:r>
      <w:r w:rsidRPr="00722DAF">
        <w:rPr>
          <w:rFonts w:ascii="Times New Roman"/>
        </w:rPr>
        <w:t xml:space="preserve"> como en las negociaciones internacionales que se est</w:t>
      </w:r>
      <w:r w:rsidRPr="00722DAF">
        <w:rPr>
          <w:rFonts w:ascii="Times New Roman"/>
        </w:rPr>
        <w:t>á</w:t>
      </w:r>
      <w:r w:rsidRPr="00722DAF">
        <w:rPr>
          <w:rFonts w:ascii="Times New Roman"/>
        </w:rPr>
        <w:t>n desarrollando tanto en el seno de la Uni</w:t>
      </w:r>
      <w:r w:rsidRPr="00722DAF">
        <w:rPr>
          <w:rFonts w:ascii="Times New Roman"/>
        </w:rPr>
        <w:t>ó</w:t>
      </w:r>
      <w:r w:rsidRPr="00722DAF">
        <w:rPr>
          <w:rFonts w:ascii="Times New Roman"/>
        </w:rPr>
        <w:t>n Europea como en Naciones Unidas para reactivar el proceso de paz, con base en la soluci</w:t>
      </w:r>
      <w:r w:rsidRPr="00722DAF">
        <w:rPr>
          <w:rFonts w:ascii="Times New Roman"/>
        </w:rPr>
        <w:t>ó</w:t>
      </w:r>
      <w:r w:rsidRPr="00722DAF">
        <w:rPr>
          <w:rFonts w:ascii="Times New Roman"/>
        </w:rPr>
        <w:t>n de dos Estados.</w:t>
      </w:r>
    </w:p>
    <w:p w14:paraId="2F3BBC57" w14:textId="77777777" w:rsidR="00D94B42" w:rsidRDefault="00D94B42" w:rsidP="00722DAF">
      <w:pPr>
        <w:pStyle w:val="Textoindependiente"/>
        <w:ind w:left="449"/>
        <w:jc w:val="left"/>
        <w:rPr>
          <w:rFonts w:ascii="Times New Roman"/>
        </w:rPr>
      </w:pPr>
    </w:p>
    <w:p w14:paraId="3A5AD496" w14:textId="629F7671" w:rsidR="00D94B42" w:rsidRPr="00D94B42" w:rsidRDefault="00D94B42" w:rsidP="00D94B42">
      <w:pPr>
        <w:pStyle w:val="Textoindependiente"/>
        <w:ind w:left="449"/>
        <w:rPr>
          <w:rFonts w:ascii="Times New Roman"/>
          <w:b/>
          <w:bCs/>
        </w:rPr>
      </w:pPr>
      <w:r>
        <w:rPr>
          <w:rFonts w:ascii="Times New Roman"/>
          <w:b/>
          <w:bCs/>
        </w:rPr>
        <w:t>Proposici</w:t>
      </w:r>
      <w:r>
        <w:rPr>
          <w:rFonts w:ascii="Times New Roman"/>
          <w:b/>
          <w:bCs/>
        </w:rPr>
        <w:t>ó</w:t>
      </w:r>
      <w:r>
        <w:rPr>
          <w:rFonts w:ascii="Times New Roman"/>
          <w:b/>
          <w:bCs/>
        </w:rPr>
        <w:t>n en los plenos de los distritos</w:t>
      </w:r>
    </w:p>
    <w:p w14:paraId="1EE679FB" w14:textId="77777777" w:rsidR="00D94B42" w:rsidRDefault="00D94B42" w:rsidP="00D94B42">
      <w:pPr>
        <w:pStyle w:val="Textoindependiente"/>
        <w:ind w:left="449"/>
        <w:rPr>
          <w:rFonts w:ascii="Times New Roman"/>
        </w:rPr>
      </w:pPr>
      <w:r>
        <w:rPr>
          <w:rFonts w:ascii="Times New Roman"/>
        </w:rPr>
        <w:t>El Grupo Socialista va a presentar tambi</w:t>
      </w:r>
      <w:r>
        <w:rPr>
          <w:rFonts w:ascii="Times New Roman"/>
        </w:rPr>
        <w:t>é</w:t>
      </w:r>
      <w:r>
        <w:rPr>
          <w:rFonts w:ascii="Times New Roman"/>
        </w:rPr>
        <w:t>n una proposici</w:t>
      </w:r>
      <w:r>
        <w:rPr>
          <w:rFonts w:ascii="Times New Roman"/>
        </w:rPr>
        <w:t>ó</w:t>
      </w:r>
      <w:r>
        <w:rPr>
          <w:rFonts w:ascii="Times New Roman"/>
        </w:rPr>
        <w:t>n en los plenos de los distritos pidiendo que las Juntas Municipales se comprometan con la legalidad internacional, la defensa de los derechos humanos y la paz, y expresen su solidaridad con el pueblo palestino ante la crisis humanitaria que padece.</w:t>
      </w:r>
    </w:p>
    <w:p w14:paraId="53CD5C6F" w14:textId="77777777" w:rsidR="00D94B42" w:rsidRDefault="00D94B42" w:rsidP="00D94B42">
      <w:pPr>
        <w:pStyle w:val="Textoindependiente"/>
        <w:ind w:left="449"/>
        <w:rPr>
          <w:rFonts w:ascii="Times New Roman"/>
        </w:rPr>
      </w:pPr>
    </w:p>
    <w:p w14:paraId="0E6802F9" w14:textId="77777777" w:rsidR="00D94B42" w:rsidRDefault="00D94B42" w:rsidP="00D94B42">
      <w:pPr>
        <w:pStyle w:val="Textoindependiente"/>
        <w:ind w:left="449"/>
        <w:rPr>
          <w:rFonts w:ascii="Times New Roman"/>
        </w:rPr>
      </w:pPr>
      <w:r>
        <w:rPr>
          <w:rFonts w:ascii="Times New Roman"/>
        </w:rPr>
        <w:t>Adem</w:t>
      </w:r>
      <w:r>
        <w:rPr>
          <w:rFonts w:ascii="Times New Roman"/>
        </w:rPr>
        <w:t>á</w:t>
      </w:r>
      <w:r>
        <w:rPr>
          <w:rFonts w:ascii="Times New Roman"/>
        </w:rPr>
        <w:t>s, el PSOE va a pedir que, en colaboraci</w:t>
      </w:r>
      <w:r>
        <w:rPr>
          <w:rFonts w:ascii="Times New Roman"/>
        </w:rPr>
        <w:t>ó</w:t>
      </w:r>
      <w:r>
        <w:rPr>
          <w:rFonts w:ascii="Times New Roman"/>
        </w:rPr>
        <w:t>n con la Embajada del Estado Palestino en Espa</w:t>
      </w:r>
      <w:r>
        <w:rPr>
          <w:rFonts w:ascii="Times New Roman"/>
        </w:rPr>
        <w:t>ñ</w:t>
      </w:r>
      <w:r>
        <w:rPr>
          <w:rFonts w:ascii="Times New Roman"/>
        </w:rPr>
        <w:t>a, se programe un ciclo de conferencias en Centros Culturales y Socioculturales para acercar la cultura palestina a madrile</w:t>
      </w:r>
      <w:r>
        <w:rPr>
          <w:rFonts w:ascii="Times New Roman"/>
        </w:rPr>
        <w:t>ñ</w:t>
      </w:r>
      <w:r>
        <w:rPr>
          <w:rFonts w:ascii="Times New Roman"/>
        </w:rPr>
        <w:t>os y madrile</w:t>
      </w:r>
      <w:r>
        <w:rPr>
          <w:rFonts w:ascii="Times New Roman"/>
        </w:rPr>
        <w:t>ñ</w:t>
      </w:r>
      <w:r>
        <w:rPr>
          <w:rFonts w:ascii="Times New Roman"/>
        </w:rPr>
        <w:t>as</w:t>
      </w:r>
      <w:r w:rsidRPr="00D94B42">
        <w:rPr>
          <w:rFonts w:ascii="Times New Roman"/>
        </w:rPr>
        <w:t>.</w:t>
      </w:r>
      <w:r>
        <w:rPr>
          <w:rFonts w:ascii="Times New Roman"/>
        </w:rPr>
        <w:t xml:space="preserve"> </w:t>
      </w:r>
    </w:p>
    <w:p w14:paraId="02D12A65" w14:textId="77777777" w:rsidR="00D94B42" w:rsidRDefault="00D94B42" w:rsidP="00D94B42">
      <w:pPr>
        <w:pStyle w:val="Textoindependiente"/>
        <w:ind w:left="449"/>
        <w:rPr>
          <w:rFonts w:ascii="Times New Roman"/>
        </w:rPr>
      </w:pPr>
    </w:p>
    <w:p w14:paraId="0B3EDD2F" w14:textId="77777777" w:rsidR="00D94B42" w:rsidRDefault="00D94B42" w:rsidP="00D94B42">
      <w:pPr>
        <w:pStyle w:val="Textoindependiente"/>
        <w:ind w:left="449"/>
        <w:rPr>
          <w:rFonts w:ascii="Times New Roman"/>
        </w:rPr>
      </w:pPr>
    </w:p>
    <w:p w14:paraId="7E7CAF9C" w14:textId="77777777" w:rsidR="00D94B42" w:rsidRDefault="00D94B42" w:rsidP="00D94B42">
      <w:pPr>
        <w:pStyle w:val="Textoindependiente"/>
        <w:ind w:left="449"/>
        <w:rPr>
          <w:rFonts w:ascii="Times New Roman"/>
        </w:rPr>
      </w:pPr>
    </w:p>
    <w:p w14:paraId="3AE20884" w14:textId="05B7FD4A" w:rsidR="00D94B42" w:rsidRPr="00722DAF" w:rsidRDefault="00D94B42" w:rsidP="00D94B42">
      <w:pPr>
        <w:pStyle w:val="Textoindependiente"/>
        <w:ind w:left="449"/>
        <w:rPr>
          <w:rFonts w:ascii="Times New Roman"/>
        </w:rPr>
      </w:pPr>
      <w:r w:rsidRPr="00D94B42">
        <w:rPr>
          <w:rFonts w:ascii="Times New Roman"/>
        </w:rPr>
        <w:lastRenderedPageBreak/>
        <w:t xml:space="preserve">En esos ciclos se pueden incluir el visionado de documentales como </w:t>
      </w:r>
      <w:r w:rsidRPr="00D94B42">
        <w:rPr>
          <w:rFonts w:ascii="Times New Roman"/>
        </w:rPr>
        <w:t>“</w:t>
      </w:r>
      <w:r w:rsidRPr="00D94B42">
        <w:rPr>
          <w:rFonts w:ascii="Times New Roman"/>
        </w:rPr>
        <w:t>Gaza</w:t>
      </w:r>
      <w:r w:rsidRPr="00D94B42">
        <w:rPr>
          <w:rFonts w:ascii="Times New Roman"/>
        </w:rPr>
        <w:t>”</w:t>
      </w:r>
      <w:r w:rsidRPr="00D94B42">
        <w:rPr>
          <w:rFonts w:ascii="Times New Roman"/>
        </w:rPr>
        <w:t xml:space="preserve"> de Garry Keane y Andrew McConnell, </w:t>
      </w:r>
      <w:r w:rsidRPr="00D94B42">
        <w:rPr>
          <w:rFonts w:ascii="Times New Roman"/>
        </w:rPr>
        <w:t>“</w:t>
      </w:r>
      <w:r w:rsidRPr="00D94B42">
        <w:rPr>
          <w:rFonts w:ascii="Times New Roman"/>
        </w:rPr>
        <w:t>The Present</w:t>
      </w:r>
      <w:r w:rsidRPr="00D94B42">
        <w:rPr>
          <w:rFonts w:ascii="Times New Roman"/>
        </w:rPr>
        <w:t>”</w:t>
      </w:r>
      <w:r w:rsidRPr="00D94B42">
        <w:rPr>
          <w:rFonts w:ascii="Times New Roman"/>
        </w:rPr>
        <w:t xml:space="preserve"> de Farah Nabulsi y </w:t>
      </w:r>
      <w:r w:rsidRPr="00D94B42">
        <w:rPr>
          <w:rFonts w:ascii="Times New Roman"/>
        </w:rPr>
        <w:t>“</w:t>
      </w:r>
      <w:r w:rsidRPr="00D94B42">
        <w:rPr>
          <w:rFonts w:ascii="Times New Roman"/>
        </w:rPr>
        <w:t>No Other Land</w:t>
      </w:r>
      <w:r w:rsidRPr="00D94B42">
        <w:rPr>
          <w:rFonts w:ascii="Times New Roman"/>
        </w:rPr>
        <w:t>”</w:t>
      </w:r>
      <w:r w:rsidRPr="00D94B42">
        <w:rPr>
          <w:rFonts w:ascii="Times New Roman"/>
        </w:rPr>
        <w:t xml:space="preserve"> de Basel Adra, Hamdan Ballal, Yuval Abraham y Rachel Szor, y el posterior coloquio acerca de los mismos.</w:t>
      </w:r>
    </w:p>
    <w:sectPr w:rsidR="00D94B42" w:rsidRPr="00722DAF">
      <w:type w:val="continuous"/>
      <w:pgSz w:w="11910" w:h="16840"/>
      <w:pgMar w:top="10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725"/>
    <w:multiLevelType w:val="hybridMultilevel"/>
    <w:tmpl w:val="7304F55A"/>
    <w:lvl w:ilvl="0" w:tplc="1468202E">
      <w:start w:val="1"/>
      <w:numFmt w:val="decimal"/>
      <w:lvlText w:val="%1."/>
      <w:lvlJc w:val="left"/>
      <w:pPr>
        <w:ind w:left="459" w:hanging="358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es-ES" w:eastAsia="en-US" w:bidi="ar-SA"/>
      </w:rPr>
    </w:lvl>
    <w:lvl w:ilvl="1" w:tplc="CB342518">
      <w:numFmt w:val="bullet"/>
      <w:lvlText w:val="•"/>
      <w:lvlJc w:val="left"/>
      <w:pPr>
        <w:ind w:left="1286" w:hanging="358"/>
      </w:pPr>
      <w:rPr>
        <w:rFonts w:hint="default"/>
        <w:lang w:val="es-ES" w:eastAsia="en-US" w:bidi="ar-SA"/>
      </w:rPr>
    </w:lvl>
    <w:lvl w:ilvl="2" w:tplc="58C635CA">
      <w:numFmt w:val="bullet"/>
      <w:lvlText w:val="•"/>
      <w:lvlJc w:val="left"/>
      <w:pPr>
        <w:ind w:left="2113" w:hanging="358"/>
      </w:pPr>
      <w:rPr>
        <w:rFonts w:hint="default"/>
        <w:lang w:val="es-ES" w:eastAsia="en-US" w:bidi="ar-SA"/>
      </w:rPr>
    </w:lvl>
    <w:lvl w:ilvl="3" w:tplc="EA1858BE">
      <w:numFmt w:val="bullet"/>
      <w:lvlText w:val="•"/>
      <w:lvlJc w:val="left"/>
      <w:pPr>
        <w:ind w:left="2939" w:hanging="358"/>
      </w:pPr>
      <w:rPr>
        <w:rFonts w:hint="default"/>
        <w:lang w:val="es-ES" w:eastAsia="en-US" w:bidi="ar-SA"/>
      </w:rPr>
    </w:lvl>
    <w:lvl w:ilvl="4" w:tplc="E5FECA68">
      <w:numFmt w:val="bullet"/>
      <w:lvlText w:val="•"/>
      <w:lvlJc w:val="left"/>
      <w:pPr>
        <w:ind w:left="3766" w:hanging="358"/>
      </w:pPr>
      <w:rPr>
        <w:rFonts w:hint="default"/>
        <w:lang w:val="es-ES" w:eastAsia="en-US" w:bidi="ar-SA"/>
      </w:rPr>
    </w:lvl>
    <w:lvl w:ilvl="5" w:tplc="73BEC5C2">
      <w:numFmt w:val="bullet"/>
      <w:lvlText w:val="•"/>
      <w:lvlJc w:val="left"/>
      <w:pPr>
        <w:ind w:left="4593" w:hanging="358"/>
      </w:pPr>
      <w:rPr>
        <w:rFonts w:hint="default"/>
        <w:lang w:val="es-ES" w:eastAsia="en-US" w:bidi="ar-SA"/>
      </w:rPr>
    </w:lvl>
    <w:lvl w:ilvl="6" w:tplc="24180882">
      <w:numFmt w:val="bullet"/>
      <w:lvlText w:val="•"/>
      <w:lvlJc w:val="left"/>
      <w:pPr>
        <w:ind w:left="5419" w:hanging="358"/>
      </w:pPr>
      <w:rPr>
        <w:rFonts w:hint="default"/>
        <w:lang w:val="es-ES" w:eastAsia="en-US" w:bidi="ar-SA"/>
      </w:rPr>
    </w:lvl>
    <w:lvl w:ilvl="7" w:tplc="E3DE46E0">
      <w:numFmt w:val="bullet"/>
      <w:lvlText w:val="•"/>
      <w:lvlJc w:val="left"/>
      <w:pPr>
        <w:ind w:left="6246" w:hanging="358"/>
      </w:pPr>
      <w:rPr>
        <w:rFonts w:hint="default"/>
        <w:lang w:val="es-ES" w:eastAsia="en-US" w:bidi="ar-SA"/>
      </w:rPr>
    </w:lvl>
    <w:lvl w:ilvl="8" w:tplc="5A0A8BDC">
      <w:numFmt w:val="bullet"/>
      <w:lvlText w:val="•"/>
      <w:lvlJc w:val="left"/>
      <w:pPr>
        <w:ind w:left="7073" w:hanging="358"/>
      </w:pPr>
      <w:rPr>
        <w:rFonts w:hint="default"/>
        <w:lang w:val="es-ES" w:eastAsia="en-US" w:bidi="ar-SA"/>
      </w:rPr>
    </w:lvl>
  </w:abstractNum>
  <w:num w:numId="1" w16cid:durableId="63498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8FC"/>
    <w:rsid w:val="0005108C"/>
    <w:rsid w:val="00187B87"/>
    <w:rsid w:val="005228FC"/>
    <w:rsid w:val="005A0B0B"/>
    <w:rsid w:val="00641C10"/>
    <w:rsid w:val="00710B0C"/>
    <w:rsid w:val="00722DAF"/>
    <w:rsid w:val="0078263F"/>
    <w:rsid w:val="007A3B6E"/>
    <w:rsid w:val="008D0FC0"/>
    <w:rsid w:val="00904C3C"/>
    <w:rsid w:val="00A409B8"/>
    <w:rsid w:val="00A839ED"/>
    <w:rsid w:val="00D94B42"/>
    <w:rsid w:val="00E2087C"/>
    <w:rsid w:val="00E65140"/>
    <w:rsid w:val="00E66075"/>
    <w:rsid w:val="00EE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BE80"/>
  <w15:docId w15:val="{B808D5B1-CB9E-4220-B119-B636CF5C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59"/>
      <w:jc w:val="both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20"/>
      <w:ind w:left="1181" w:right="1195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459" w:right="117" w:hanging="35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cf207080-7966-4fbf-8a0e-8f0eff31c1b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333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Beltran Garcia, Alejandro</dc:creator>
  <cp:lastModifiedBy>Bautista Palacios, Angela</cp:lastModifiedBy>
  <cp:revision>5</cp:revision>
  <dcterms:created xsi:type="dcterms:W3CDTF">2025-06-04T08:32:00Z</dcterms:created>
  <dcterms:modified xsi:type="dcterms:W3CDTF">2025-06-04T08:48:00Z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2023-09-19T00:00:00Z</vt:filetime>
  </property>
</Properties>
</file>